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00" w:type="dxa"/>
        <w:tblCellMar>
          <w:left w:w="0" w:type="dxa"/>
          <w:right w:w="0" w:type="dxa"/>
        </w:tblCellMar>
        <w:tblLook w:val="04A0" w:firstRow="1" w:lastRow="0" w:firstColumn="1" w:lastColumn="0" w:noHBand="0" w:noVBand="1"/>
      </w:tblPr>
      <w:tblGrid>
        <w:gridCol w:w="8200"/>
      </w:tblGrid>
      <w:tr w:rsidR="00474908" w:rsidRPr="00CE6928" w:rsidTr="00662EA1">
        <w:trPr>
          <w:trHeight w:val="269"/>
        </w:trPr>
        <w:tc>
          <w:tcPr>
            <w:tcW w:w="0" w:type="auto"/>
            <w:vAlign w:val="center"/>
            <w:hideMark/>
          </w:tcPr>
          <w:p w:rsidR="00474908" w:rsidRPr="00CE6928" w:rsidRDefault="00474908" w:rsidP="00F96242">
            <w:pPr>
              <w:spacing w:after="0" w:line="240" w:lineRule="auto"/>
              <w:rPr>
                <w:rFonts w:eastAsia="Times New Roman" w:cs="Calibri"/>
                <w:color w:val="000000"/>
                <w:lang w:eastAsia="it-IT"/>
              </w:rPr>
            </w:pPr>
            <w:bookmarkStart w:id="0" w:name="_GoBack"/>
            <w:bookmarkEnd w:id="0"/>
          </w:p>
        </w:tc>
      </w:tr>
    </w:tbl>
    <w:p w:rsidR="00B063DC" w:rsidRDefault="00B063DC" w:rsidP="00B063DC">
      <w:pPr>
        <w:keepNext/>
        <w:keepLines/>
        <w:spacing w:before="120" w:after="120"/>
        <w:jc w:val="center"/>
        <w:outlineLvl w:val="0"/>
        <w:rPr>
          <w:rFonts w:ascii="Times New Roman" w:eastAsia="Arial" w:hAnsi="Times New Roman"/>
          <w:b/>
          <w:sz w:val="24"/>
          <w:szCs w:val="24"/>
          <w:lang w:eastAsia="it-IT"/>
        </w:rPr>
      </w:pPr>
      <w:bookmarkStart w:id="1" w:name="_Toc27394276"/>
      <w:r w:rsidRPr="00B063DC">
        <w:rPr>
          <w:rFonts w:ascii="Times New Roman" w:eastAsia="Arial" w:hAnsi="Times New Roman"/>
          <w:b/>
          <w:sz w:val="24"/>
          <w:szCs w:val="24"/>
          <w:lang w:eastAsia="it-IT"/>
        </w:rPr>
        <w:t>MODELLO DI ORGANIZZAZIONE,</w:t>
      </w:r>
      <w:r>
        <w:rPr>
          <w:rFonts w:ascii="Times New Roman" w:eastAsia="Arial" w:hAnsi="Times New Roman"/>
          <w:b/>
          <w:sz w:val="24"/>
          <w:szCs w:val="24"/>
          <w:lang w:eastAsia="it-IT"/>
        </w:rPr>
        <w:t xml:space="preserve"> </w:t>
      </w:r>
      <w:r w:rsidRPr="00B063DC">
        <w:rPr>
          <w:rFonts w:ascii="Times New Roman" w:eastAsia="Arial" w:hAnsi="Times New Roman"/>
          <w:b/>
          <w:sz w:val="24"/>
          <w:szCs w:val="24"/>
          <w:lang w:eastAsia="it-IT"/>
        </w:rPr>
        <w:t>GESTIONE E CONTROLLO</w:t>
      </w:r>
      <w:r>
        <w:rPr>
          <w:rFonts w:ascii="Times New Roman" w:eastAsia="Arial" w:hAnsi="Times New Roman"/>
          <w:b/>
          <w:sz w:val="24"/>
          <w:szCs w:val="24"/>
          <w:lang w:eastAsia="it-IT"/>
        </w:rPr>
        <w:t xml:space="preserve"> </w:t>
      </w:r>
      <w:r>
        <w:rPr>
          <w:rFonts w:ascii="Times New Roman" w:eastAsia="Arial" w:hAnsi="Times New Roman"/>
          <w:b/>
          <w:sz w:val="24"/>
          <w:szCs w:val="24"/>
          <w:lang w:eastAsia="it-IT"/>
        </w:rPr>
        <w:br/>
      </w:r>
      <w:r w:rsidRPr="00B063DC">
        <w:rPr>
          <w:rFonts w:ascii="Times New Roman" w:eastAsia="Arial" w:hAnsi="Times New Roman"/>
          <w:b/>
          <w:sz w:val="24"/>
          <w:szCs w:val="24"/>
          <w:lang w:eastAsia="it-IT"/>
        </w:rPr>
        <w:t xml:space="preserve">ai sensi del </w:t>
      </w:r>
      <w:proofErr w:type="spellStart"/>
      <w:r w:rsidRPr="00B063DC">
        <w:rPr>
          <w:rFonts w:ascii="Times New Roman" w:eastAsia="Arial" w:hAnsi="Times New Roman"/>
          <w:b/>
          <w:sz w:val="24"/>
          <w:szCs w:val="24"/>
          <w:lang w:eastAsia="it-IT"/>
        </w:rPr>
        <w:t>D.Lgs.</w:t>
      </w:r>
      <w:proofErr w:type="spellEnd"/>
      <w:r w:rsidRPr="00B063DC">
        <w:rPr>
          <w:rFonts w:ascii="Times New Roman" w:eastAsia="Arial" w:hAnsi="Times New Roman"/>
          <w:b/>
          <w:sz w:val="24"/>
          <w:szCs w:val="24"/>
          <w:lang w:eastAsia="it-IT"/>
        </w:rPr>
        <w:t xml:space="preserve"> 231/2001</w:t>
      </w:r>
    </w:p>
    <w:p w:rsidR="00B063DC" w:rsidRDefault="00B063DC" w:rsidP="00166F38">
      <w:pPr>
        <w:keepNext/>
        <w:keepLines/>
        <w:spacing w:before="240" w:after="0"/>
        <w:jc w:val="center"/>
        <w:outlineLvl w:val="0"/>
        <w:rPr>
          <w:rFonts w:ascii="Times New Roman" w:eastAsia="Arial" w:hAnsi="Times New Roman"/>
          <w:b/>
          <w:sz w:val="24"/>
          <w:szCs w:val="24"/>
          <w:lang w:eastAsia="it-IT"/>
        </w:rPr>
      </w:pPr>
      <w:r>
        <w:rPr>
          <w:rFonts w:ascii="Times New Roman" w:eastAsia="Arial" w:hAnsi="Times New Roman"/>
          <w:b/>
          <w:sz w:val="24"/>
          <w:szCs w:val="24"/>
          <w:lang w:eastAsia="it-IT"/>
        </w:rPr>
        <w:t>P</w:t>
      </w:r>
      <w:r w:rsidRPr="00B063DC">
        <w:rPr>
          <w:rFonts w:ascii="Times New Roman" w:eastAsia="Arial" w:hAnsi="Times New Roman"/>
          <w:b/>
          <w:sz w:val="24"/>
          <w:szCs w:val="24"/>
          <w:lang w:eastAsia="it-IT"/>
        </w:rPr>
        <w:t>ARTE TERZA</w:t>
      </w:r>
      <w:bookmarkEnd w:id="1"/>
    </w:p>
    <w:p w:rsidR="00B063DC" w:rsidRPr="00166F38" w:rsidRDefault="00B063DC" w:rsidP="00166F38">
      <w:pPr>
        <w:spacing w:before="240" w:after="0"/>
        <w:ind w:right="6"/>
        <w:jc w:val="center"/>
        <w:rPr>
          <w:rFonts w:ascii="Times New Roman" w:eastAsia="Arial" w:hAnsi="Times New Roman"/>
          <w:sz w:val="32"/>
          <w:szCs w:val="32"/>
          <w:lang w:eastAsia="it-IT"/>
        </w:rPr>
      </w:pPr>
      <w:r w:rsidRPr="00166F38">
        <w:rPr>
          <w:rFonts w:ascii="Times New Roman" w:eastAsia="Arial" w:hAnsi="Times New Roman"/>
          <w:b/>
          <w:bCs/>
          <w:color w:val="000000"/>
          <w:sz w:val="32"/>
          <w:szCs w:val="32"/>
          <w:lang w:eastAsia="it-IT"/>
        </w:rPr>
        <w:t>CODICE ETICO COMPORTAMENTALE</w:t>
      </w:r>
    </w:p>
    <w:p w:rsidR="00B063DC" w:rsidRPr="00B063DC" w:rsidRDefault="00B063DC" w:rsidP="00B063DC">
      <w:pPr>
        <w:keepNext/>
        <w:keepLines/>
        <w:spacing w:after="80"/>
        <w:jc w:val="center"/>
        <w:outlineLvl w:val="1"/>
        <w:rPr>
          <w:rFonts w:ascii="Times New Roman" w:eastAsia="Arial" w:hAnsi="Times New Roman"/>
          <w:b/>
          <w:sz w:val="24"/>
          <w:szCs w:val="24"/>
          <w:lang w:eastAsia="it-IT"/>
        </w:rPr>
      </w:pPr>
      <w:bookmarkStart w:id="2" w:name="_Toc27394277"/>
      <w:r w:rsidRPr="00B063DC">
        <w:rPr>
          <w:rFonts w:ascii="Times New Roman" w:eastAsia="Arial" w:hAnsi="Times New Roman"/>
          <w:b/>
          <w:sz w:val="24"/>
          <w:szCs w:val="24"/>
          <w:lang w:eastAsia="it-IT"/>
        </w:rPr>
        <w:t>CAPO I</w:t>
      </w:r>
      <w:bookmarkEnd w:id="2"/>
    </w:p>
    <w:p w:rsidR="00B063DC" w:rsidRPr="00B063DC" w:rsidRDefault="00B063DC" w:rsidP="00B063DC">
      <w:pPr>
        <w:spacing w:before="322" w:after="0"/>
        <w:ind w:right="4"/>
        <w:jc w:val="center"/>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Generalità 1 – Principi generali</w:t>
      </w:r>
    </w:p>
    <w:p w:rsidR="00B063DC" w:rsidRPr="00B063DC" w:rsidRDefault="00B063DC" w:rsidP="00B063DC">
      <w:pPr>
        <w:spacing w:before="302"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La Cooperativa “</w:t>
      </w:r>
      <w:r w:rsidRPr="00B063DC">
        <w:rPr>
          <w:rFonts w:ascii="Times New Roman" w:eastAsia="Arial" w:hAnsi="Times New Roman"/>
          <w:i/>
          <w:color w:val="000000"/>
          <w:sz w:val="24"/>
          <w:szCs w:val="24"/>
          <w:lang w:eastAsia="it-IT"/>
        </w:rPr>
        <w:t>Fraternità e Amicizia – Società Cooperativa Sociale – O.N.L.U.S</w:t>
      </w:r>
      <w:r w:rsidRPr="00B063DC">
        <w:rPr>
          <w:rFonts w:ascii="Times New Roman" w:eastAsia="Arial" w:hAnsi="Times New Roman"/>
          <w:color w:val="000000"/>
          <w:sz w:val="24"/>
          <w:szCs w:val="24"/>
          <w:lang w:eastAsia="it-IT"/>
        </w:rPr>
        <w:t>” (d’ora in poi: l’Ente), nello svolgimento della propria attività, interamente rispetta le leggi dell’Unione Europea, nazionali e regionali e non intende intrattenere rapporti con chi non è allineato su tale principio, anche laddove condotte diverse potessero arrecare benefici e vantaggi. Accanto al principio di legalità, ed anche in carenza di indirizzi ideali propri dell’Ente, l’attività dell’Ente stesso si ispira ai seguenti principi: </w:t>
      </w:r>
    </w:p>
    <w:p w:rsidR="00B063DC" w:rsidRPr="00B063DC" w:rsidRDefault="00B063DC" w:rsidP="00B063DC">
      <w:pPr>
        <w:spacing w:before="312" w:after="0"/>
        <w:ind w:right="4"/>
        <w:jc w:val="both"/>
        <w:rPr>
          <w:rFonts w:ascii="Times New Roman" w:eastAsia="Arial" w:hAnsi="Times New Roman"/>
          <w:i/>
          <w:iCs/>
          <w:color w:val="000000"/>
          <w:sz w:val="24"/>
          <w:szCs w:val="24"/>
          <w:lang w:eastAsia="it-IT"/>
        </w:rPr>
      </w:pPr>
      <w:r w:rsidRPr="00B063DC">
        <w:rPr>
          <w:rFonts w:ascii="Times New Roman" w:eastAsia="Arial" w:hAnsi="Times New Roman"/>
          <w:i/>
          <w:iCs/>
          <w:color w:val="000000"/>
          <w:sz w:val="24"/>
          <w:szCs w:val="24"/>
          <w:lang w:eastAsia="it-IT"/>
        </w:rPr>
        <w:t xml:space="preserve">- Centralità della persona </w:t>
      </w:r>
    </w:p>
    <w:p w:rsidR="00B063DC" w:rsidRPr="00B063DC" w:rsidRDefault="00B063DC" w:rsidP="00B063DC">
      <w:pPr>
        <w:spacing w:before="120" w:after="0"/>
        <w:ind w:right="6"/>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Il primato della persona, in particolare, tende ad assicurare il benessere fisico, psichico e morale degli assistiti, con azioni miranti alla eliminazione od alla riduzione degli stati di malattia o di difficoltà. La centralità della persona eleva il rapporto fra gli Operatori dell’Ente e gli Assistiti come intesa fra persone che tendono a riconoscersi sulla base dei medesimi bisogni umani e della comune esperienza della fragilità, del dolore e della sofferenza. Le attività sociali e, ove attivate, quelle sanitarie e sociosanitarie, vanno svolte nel pieno rispetto dei diritti fondamentali della persona assistita, salvaguardandone la dignità e la libertà. </w:t>
      </w:r>
    </w:p>
    <w:p w:rsidR="00B063DC" w:rsidRPr="00B063DC" w:rsidRDefault="00B063DC" w:rsidP="00B063DC">
      <w:pPr>
        <w:spacing w:before="312" w:after="0"/>
        <w:ind w:right="4"/>
        <w:jc w:val="both"/>
        <w:rPr>
          <w:rFonts w:ascii="Times New Roman" w:eastAsia="Arial" w:hAnsi="Times New Roman"/>
          <w:i/>
          <w:iCs/>
          <w:color w:val="000000"/>
          <w:sz w:val="24"/>
          <w:szCs w:val="24"/>
          <w:lang w:eastAsia="it-IT"/>
        </w:rPr>
      </w:pPr>
      <w:r w:rsidRPr="00B063DC">
        <w:rPr>
          <w:rFonts w:ascii="Times New Roman" w:eastAsia="Arial" w:hAnsi="Times New Roman"/>
          <w:i/>
          <w:iCs/>
          <w:color w:val="000000"/>
          <w:sz w:val="24"/>
          <w:szCs w:val="24"/>
          <w:lang w:eastAsia="it-IT"/>
        </w:rPr>
        <w:t xml:space="preserve">- Trasparenza </w:t>
      </w:r>
      <w:r w:rsidRPr="00B063DC">
        <w:rPr>
          <w:rFonts w:ascii="Times New Roman" w:eastAsia="Arial" w:hAnsi="Times New Roman"/>
          <w:i/>
          <w:color w:val="000000"/>
          <w:sz w:val="24"/>
          <w:szCs w:val="24"/>
          <w:lang w:eastAsia="it-IT"/>
        </w:rPr>
        <w:t xml:space="preserve">e </w:t>
      </w:r>
      <w:r w:rsidRPr="00B063DC">
        <w:rPr>
          <w:rFonts w:ascii="Times New Roman" w:eastAsia="Arial" w:hAnsi="Times New Roman"/>
          <w:i/>
          <w:iCs/>
          <w:color w:val="000000"/>
          <w:sz w:val="24"/>
          <w:szCs w:val="24"/>
          <w:lang w:eastAsia="it-IT"/>
        </w:rPr>
        <w:t xml:space="preserve">correttezza </w:t>
      </w:r>
    </w:p>
    <w:p w:rsidR="00B063DC" w:rsidRPr="00B063DC" w:rsidRDefault="00B063DC" w:rsidP="00B063DC">
      <w:pPr>
        <w:spacing w:before="120" w:after="0"/>
        <w:ind w:right="6"/>
        <w:jc w:val="both"/>
        <w:rPr>
          <w:rFonts w:ascii="Times New Roman" w:eastAsia="Arial" w:hAnsi="Times New Roman"/>
          <w:i/>
          <w:iCs/>
          <w:color w:val="000000"/>
          <w:sz w:val="24"/>
          <w:szCs w:val="24"/>
          <w:lang w:eastAsia="it-IT"/>
        </w:rPr>
      </w:pPr>
      <w:r w:rsidRPr="00B063DC">
        <w:rPr>
          <w:rFonts w:ascii="Times New Roman" w:eastAsia="Arial" w:hAnsi="Times New Roman"/>
          <w:color w:val="000000"/>
          <w:sz w:val="24"/>
          <w:szCs w:val="24"/>
          <w:lang w:eastAsia="it-IT"/>
        </w:rPr>
        <w:t>L’Ente imposta la propria attività alla massima trasparenza. I soggetti che hanno rapporti con l’Ente devono essere posti nella condizione di avere informazioni complete e precise sulle attività che li riguardano o degli Assistiti; in particolare vanno forniti tutti i dati necessari per operare scelte consapevoli. Nello svolgimento degli adempimenti di carattere economico vanno resi noti i comportamenti utili per cogliere il reale andamento economico dell’Ente e per consentire di verificare una condotta senza scopo di lucro, come è nelle regole Statutarie dell’Ente. Le informazioni e le comunicazioni vanno rese in termini chiari e comprensibili, allo scopo di consentire la facile e generale comprensione. </w:t>
      </w:r>
    </w:p>
    <w:p w:rsidR="00B063DC" w:rsidRPr="00B063DC" w:rsidRDefault="00B063DC" w:rsidP="00B063DC">
      <w:pPr>
        <w:spacing w:before="312" w:after="0"/>
        <w:ind w:right="4"/>
        <w:jc w:val="both"/>
        <w:rPr>
          <w:rFonts w:ascii="Times New Roman" w:eastAsia="Arial" w:hAnsi="Times New Roman"/>
          <w:i/>
          <w:iCs/>
          <w:color w:val="000000"/>
          <w:sz w:val="24"/>
          <w:szCs w:val="24"/>
          <w:lang w:eastAsia="it-IT"/>
        </w:rPr>
      </w:pPr>
      <w:r w:rsidRPr="00B063DC">
        <w:rPr>
          <w:rFonts w:ascii="Times New Roman" w:eastAsia="Arial" w:hAnsi="Times New Roman"/>
          <w:i/>
          <w:iCs/>
          <w:color w:val="000000"/>
          <w:sz w:val="24"/>
          <w:szCs w:val="24"/>
          <w:lang w:eastAsia="it-IT"/>
        </w:rPr>
        <w:t>- Efficacia, efficienza ed economicità </w:t>
      </w:r>
    </w:p>
    <w:p w:rsidR="00B063DC" w:rsidRPr="00B063DC" w:rsidRDefault="00B063DC" w:rsidP="00B063DC">
      <w:pPr>
        <w:spacing w:before="120" w:after="0"/>
        <w:ind w:right="6"/>
        <w:jc w:val="both"/>
        <w:rPr>
          <w:rFonts w:ascii="Times New Roman" w:eastAsia="Arial" w:hAnsi="Times New Roman"/>
          <w:i/>
          <w:iCs/>
          <w:color w:val="000000"/>
          <w:sz w:val="24"/>
          <w:szCs w:val="24"/>
          <w:lang w:eastAsia="it-IT"/>
        </w:rPr>
      </w:pPr>
      <w:r w:rsidRPr="00B063DC">
        <w:rPr>
          <w:rFonts w:ascii="Times New Roman" w:eastAsia="Arial" w:hAnsi="Times New Roman"/>
          <w:color w:val="000000"/>
          <w:sz w:val="24"/>
          <w:szCs w:val="24"/>
          <w:lang w:eastAsia="it-IT"/>
        </w:rPr>
        <w:t xml:space="preserve">L’Ente intende svolgere la propria attività secondo criteri di efficacia, efficienza ed economicità, attraverso l’uso ottimale delle risorse disponibili ed attraverso l’eliminazione di fattori di spreco o di indebito aggravio. L’Ente si propone di svolgere continua attività formativa ed informativa per </w:t>
      </w:r>
      <w:r w:rsidRPr="00B063DC">
        <w:rPr>
          <w:rFonts w:ascii="Times New Roman" w:eastAsia="Arial" w:hAnsi="Times New Roman"/>
          <w:color w:val="000000"/>
          <w:sz w:val="24"/>
          <w:szCs w:val="24"/>
          <w:lang w:eastAsia="it-IT"/>
        </w:rPr>
        <w:lastRenderedPageBreak/>
        <w:t>accrescere il grado di professionalità degli operatori nei diversi livelli e per migliorare le loro capacità professionali e gestionali. </w:t>
      </w:r>
    </w:p>
    <w:p w:rsidR="00B063DC" w:rsidRPr="00B063DC" w:rsidRDefault="00B063DC" w:rsidP="00B063DC">
      <w:pPr>
        <w:spacing w:before="264" w:after="0"/>
        <w:ind w:right="4"/>
        <w:jc w:val="both"/>
        <w:rPr>
          <w:rFonts w:ascii="Times New Roman" w:eastAsia="Arial" w:hAnsi="Times New Roman"/>
          <w:i/>
          <w:iCs/>
          <w:color w:val="000000"/>
          <w:sz w:val="24"/>
          <w:szCs w:val="24"/>
          <w:lang w:eastAsia="it-IT"/>
        </w:rPr>
      </w:pPr>
      <w:r w:rsidRPr="00B063DC">
        <w:rPr>
          <w:rFonts w:ascii="Times New Roman" w:eastAsia="Arial" w:hAnsi="Times New Roman"/>
          <w:i/>
          <w:iCs/>
          <w:color w:val="000000"/>
          <w:sz w:val="24"/>
          <w:szCs w:val="24"/>
          <w:lang w:eastAsia="it-IT"/>
        </w:rPr>
        <w:t xml:space="preserve">- Riservatezza </w:t>
      </w:r>
    </w:p>
    <w:p w:rsidR="00B063DC" w:rsidRPr="00B063DC" w:rsidRDefault="00B063DC" w:rsidP="00B063DC">
      <w:pPr>
        <w:spacing w:before="120" w:after="0"/>
        <w:ind w:right="6"/>
        <w:jc w:val="both"/>
        <w:rPr>
          <w:rFonts w:ascii="Times New Roman" w:eastAsia="Arial" w:hAnsi="Times New Roman"/>
          <w:i/>
          <w:iCs/>
          <w:color w:val="000000"/>
          <w:sz w:val="24"/>
          <w:szCs w:val="24"/>
          <w:lang w:eastAsia="it-IT"/>
        </w:rPr>
      </w:pPr>
      <w:r w:rsidRPr="00B063DC">
        <w:rPr>
          <w:rFonts w:ascii="Times New Roman" w:eastAsia="Arial" w:hAnsi="Times New Roman"/>
          <w:color w:val="000000"/>
          <w:sz w:val="24"/>
          <w:szCs w:val="24"/>
          <w:lang w:eastAsia="it-IT"/>
        </w:rPr>
        <w:t>L’Ente assicura in ogni settore della propria attività il rispetto delle norme e delle regole in materia di riservatezza (in particolare il Regolamento Europeo sulla protezione dei dati, n. 679/2016). Nell’acquisizione, trattamento e comunicazione dei dati sensibili, l’Amministrazione è tenuta ad osservare le modalità necessarie per tutelare la riservatezza dei dati. Ai dipendenti ed ai terzi che collaborano con l’Ente è fatto divieto di utilizzare le informazioni di cui sono venuti a conoscenza per scopi diversi rispetto alla stretta esplicazione delle funzioni d’ufficio. </w:t>
      </w:r>
    </w:p>
    <w:p w:rsidR="00B063DC" w:rsidRPr="00B063DC" w:rsidRDefault="00B063DC" w:rsidP="00B063DC">
      <w:pPr>
        <w:spacing w:before="240"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2 – Ambito di applicazione</w:t>
      </w:r>
    </w:p>
    <w:p w:rsidR="00B063DC" w:rsidRPr="00B063DC" w:rsidRDefault="00B063DC" w:rsidP="00B063DC">
      <w:pPr>
        <w:spacing w:before="307"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Il Codice Etico-Comportamentale costituisce parte integrante del Modello Operativo dell’Ente. </w:t>
      </w:r>
    </w:p>
    <w:p w:rsidR="00B063DC" w:rsidRPr="00B063DC" w:rsidRDefault="00B063DC" w:rsidP="00B063DC">
      <w:pPr>
        <w:spacing w:before="31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Ai fini della piena osservanza delle disposizioni portate dal D. </w:t>
      </w:r>
      <w:proofErr w:type="spellStart"/>
      <w:r w:rsidRPr="00B063DC">
        <w:rPr>
          <w:rFonts w:ascii="Times New Roman" w:eastAsia="Arial" w:hAnsi="Times New Roman"/>
          <w:color w:val="000000"/>
          <w:sz w:val="24"/>
          <w:szCs w:val="24"/>
          <w:lang w:eastAsia="it-IT"/>
        </w:rPr>
        <w:t>Lgs</w:t>
      </w:r>
      <w:proofErr w:type="spellEnd"/>
      <w:r w:rsidRPr="00B063DC">
        <w:rPr>
          <w:rFonts w:ascii="Times New Roman" w:eastAsia="Arial" w:hAnsi="Times New Roman"/>
          <w:color w:val="000000"/>
          <w:sz w:val="24"/>
          <w:szCs w:val="24"/>
          <w:lang w:eastAsia="it-IT"/>
        </w:rPr>
        <w:t>. 8/6/2001 n. 231 e successive modificazioni ed integrazioni, i soggetti comunque operanti in posizione apicale o sottoposta sono tenuti all’osservanza:</w:t>
      </w:r>
    </w:p>
    <w:p w:rsidR="00B063DC" w:rsidRPr="00B063DC" w:rsidRDefault="00B063DC" w:rsidP="00B063DC">
      <w:pPr>
        <w:spacing w:after="0"/>
        <w:ind w:right="6"/>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delle disposizioni contenute nel vigente Regolamento Generale Amministrativo, delle altre disposizioni generali, in specie delle procedure e norme operative dell’Ente; </w:t>
      </w:r>
    </w:p>
    <w:p w:rsidR="00B063DC" w:rsidRPr="00B063DC" w:rsidRDefault="00B063DC" w:rsidP="00B063DC">
      <w:pPr>
        <w:spacing w:after="0"/>
        <w:ind w:right="6"/>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 delle ulteriori regole di comportamento previste in ogni parte del Modello Operativo e nel Codice Etico-Comportamentale. </w:t>
      </w:r>
    </w:p>
    <w:p w:rsidR="00B063DC" w:rsidRPr="00B063DC" w:rsidRDefault="00B063DC" w:rsidP="00B063DC">
      <w:pPr>
        <w:spacing w:after="0"/>
        <w:ind w:right="6"/>
        <w:jc w:val="both"/>
        <w:rPr>
          <w:rFonts w:ascii="Times New Roman" w:eastAsia="Arial" w:hAnsi="Times New Roman"/>
          <w:sz w:val="24"/>
          <w:szCs w:val="24"/>
          <w:lang w:eastAsia="it-IT"/>
        </w:rPr>
      </w:pPr>
    </w:p>
    <w:p w:rsidR="00B063DC" w:rsidRPr="00B063DC" w:rsidRDefault="00B063DC" w:rsidP="00B063DC">
      <w:pPr>
        <w:spacing w:after="0"/>
        <w:ind w:right="6"/>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2. Il presente modello ed il Codice Etico costituiscono parte integrante delle norme regolamentari dell’Ente, in specie delle procedure e norme operative dell’Ente. </w:t>
      </w:r>
    </w:p>
    <w:p w:rsidR="00B063DC" w:rsidRPr="00B063DC" w:rsidRDefault="00B063DC" w:rsidP="00B063DC">
      <w:pPr>
        <w:spacing w:before="240"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3 – Regole generali</w:t>
      </w:r>
    </w:p>
    <w:p w:rsidR="00B063DC" w:rsidRPr="00B063DC" w:rsidRDefault="00B063DC" w:rsidP="00B063DC">
      <w:pPr>
        <w:spacing w:before="307"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L’Ente è impegnato a svolgere i compiti previsti dal proprio Statuto nel rispetto della legge vigente e di ogni altra normativa, anche amministrativa, applicabile ai settori in cui esso opera. </w:t>
      </w:r>
    </w:p>
    <w:p w:rsidR="00B063DC" w:rsidRPr="00B063DC" w:rsidRDefault="00B063DC" w:rsidP="00B063DC">
      <w:pPr>
        <w:spacing w:before="307"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2. Ogni attività autorizzata, in via generale e specificatamente, da chi ne abbia il potere, deve essere espressa in forma documentale. Per quanto riguarda i documenti, redatti in forma scritta: devono contenere la sottoscrizione di chi li ha emessi; vanno raccolti e custoditi in modo accurato, anche con modalità tali da assicurarne la facile ed immediata consultazione. </w:t>
      </w:r>
    </w:p>
    <w:p w:rsidR="00B063DC" w:rsidRDefault="00B063DC" w:rsidP="00B063DC">
      <w:pPr>
        <w:spacing w:before="307"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3. Nessuna movimentazione di fondi può essere effettuata senza la contestuale documentazione scritta, secondo le modalità fissate nel precedente comma. </w:t>
      </w:r>
    </w:p>
    <w:p w:rsidR="00B063DC" w:rsidRDefault="00B063DC" w:rsidP="00B063DC">
      <w:pPr>
        <w:spacing w:before="307" w:after="0"/>
        <w:ind w:right="4"/>
        <w:jc w:val="both"/>
        <w:rPr>
          <w:rFonts w:ascii="Times New Roman" w:eastAsia="Arial" w:hAnsi="Times New Roman"/>
          <w:color w:val="000000"/>
          <w:sz w:val="24"/>
          <w:szCs w:val="24"/>
          <w:lang w:eastAsia="it-IT"/>
        </w:rPr>
      </w:pPr>
    </w:p>
    <w:p w:rsidR="00B063DC" w:rsidRPr="00B063DC" w:rsidRDefault="00B063DC" w:rsidP="00B063DC">
      <w:pPr>
        <w:spacing w:before="307" w:after="0"/>
        <w:ind w:right="4"/>
        <w:jc w:val="both"/>
        <w:rPr>
          <w:rFonts w:ascii="Times New Roman" w:eastAsia="Arial" w:hAnsi="Times New Roman"/>
          <w:sz w:val="24"/>
          <w:szCs w:val="24"/>
          <w:lang w:eastAsia="it-IT"/>
        </w:rPr>
      </w:pPr>
    </w:p>
    <w:p w:rsidR="00B063DC" w:rsidRPr="00B063DC" w:rsidRDefault="00B063DC" w:rsidP="00B063DC">
      <w:pPr>
        <w:spacing w:before="120" w:after="240"/>
        <w:ind w:right="6"/>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lastRenderedPageBreak/>
        <w:t>4 – Soggetti obbligati</w:t>
      </w:r>
    </w:p>
    <w:p w:rsidR="00B063DC" w:rsidRPr="00B063DC" w:rsidRDefault="00B063DC" w:rsidP="00B063DC">
      <w:pPr>
        <w:spacing w:after="0"/>
        <w:ind w:right="6"/>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Sono tenuti all’osservanza del presente codice tutti coloro che - in posizione apicale o di sottoposti all’altrui direzione o vigilanza - comunque ricadono nelle previsioni di cui agli articoli 5 - 6 - 7 del D. </w:t>
      </w:r>
      <w:proofErr w:type="spellStart"/>
      <w:r w:rsidRPr="00B063DC">
        <w:rPr>
          <w:rFonts w:ascii="Times New Roman" w:eastAsia="Arial" w:hAnsi="Times New Roman"/>
          <w:color w:val="000000"/>
          <w:sz w:val="24"/>
          <w:szCs w:val="24"/>
          <w:lang w:eastAsia="it-IT"/>
        </w:rPr>
        <w:t>Lgs</w:t>
      </w:r>
      <w:proofErr w:type="spellEnd"/>
      <w:r w:rsidRPr="00B063DC">
        <w:rPr>
          <w:rFonts w:ascii="Times New Roman" w:eastAsia="Arial" w:hAnsi="Times New Roman"/>
          <w:color w:val="000000"/>
          <w:sz w:val="24"/>
          <w:szCs w:val="24"/>
          <w:lang w:eastAsia="it-IT"/>
        </w:rPr>
        <w:t xml:space="preserve">. 231/2001, indipendentemente dall’esistenza di un rapporto di impiego. </w:t>
      </w:r>
    </w:p>
    <w:p w:rsidR="00B063DC" w:rsidRPr="00B063DC" w:rsidRDefault="00B063DC" w:rsidP="00B063DC">
      <w:pPr>
        <w:spacing w:before="307"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Il Modello si estende, pertanto, ad Amministratori, soci, volontari, liberi professionisti, incaricati o simili. La dizione “Personale” si intende qui riferita a tutti i soggetti considerati nel presente articolo. </w:t>
      </w:r>
    </w:p>
    <w:p w:rsidR="00B063DC" w:rsidRPr="00B063DC" w:rsidRDefault="00B063DC" w:rsidP="00B063DC">
      <w:pPr>
        <w:keepNext/>
        <w:keepLines/>
        <w:spacing w:before="360" w:after="80"/>
        <w:jc w:val="center"/>
        <w:outlineLvl w:val="1"/>
        <w:rPr>
          <w:rFonts w:ascii="Times New Roman" w:eastAsia="Arial" w:hAnsi="Times New Roman"/>
          <w:b/>
          <w:sz w:val="24"/>
          <w:szCs w:val="24"/>
          <w:lang w:eastAsia="it-IT"/>
        </w:rPr>
      </w:pPr>
      <w:bookmarkStart w:id="3" w:name="_Toc27394278"/>
      <w:r w:rsidRPr="00B063DC">
        <w:rPr>
          <w:rFonts w:ascii="Times New Roman" w:eastAsia="Arial" w:hAnsi="Times New Roman"/>
          <w:b/>
          <w:sz w:val="24"/>
          <w:szCs w:val="24"/>
          <w:lang w:eastAsia="it-IT"/>
        </w:rPr>
        <w:t>CAPO II</w:t>
      </w:r>
      <w:bookmarkEnd w:id="3"/>
    </w:p>
    <w:p w:rsidR="00B063DC" w:rsidRPr="00B063DC" w:rsidRDefault="00B063DC" w:rsidP="00B063DC">
      <w:pPr>
        <w:spacing w:before="240" w:after="0"/>
        <w:ind w:right="6"/>
        <w:jc w:val="center"/>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Condotta nella gestione aziendale</w:t>
      </w:r>
    </w:p>
    <w:p w:rsidR="00B063DC" w:rsidRPr="00B063DC" w:rsidRDefault="00B063DC" w:rsidP="00B063DC">
      <w:pPr>
        <w:spacing w:before="254"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5 – Regole generali</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L’Ente cura l’informazione e la conoscenza da parte dei soggetti di cui all’art. 3, della vigente normativa di settore e del MO, secondo modalità che saranno oggetto di informazione alle rappresentanze sindacali aziendali; analoga informativa verrà data in caso di revisione o di ampliamento del Modello.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2. Immediatamente dopo l’adozione del Modello e la nomina dell’Organismo di Vigilanza saranno tenute riunioni di tutto il Personale presso il Centro o i Servizi di appartenenza, per una discussione iniziale sull’intera problematica.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3. L’Ente organizza periodicamente o comunque in caso di modifica del Modello organizzativo, incontri di formazione per i soggetti a qualsiasi titolo operanti nella struttura, il cui calendario sarà comunicato alle rappresentanze sindacali, ove esistenti. Ai predetti incontri deve essere assicurata la partecipazione di almeno un componente dell’Organismo di Vigilanza o del titolare dell’Organismo di Vigilanza se monocratico. Tali incontri avranno ad oggetto l’illustrazione della normativa di settore, del presente Modello e delle procedure relative allo svolgimento delle attività aziendali, anche mediante la distribuzione di materiale informativo. L’Organismo di Vigilanza provvederà a conservare idonea documentazione comprovante la tenuta e 1’oggetto degli incontri, nonché la frequenza da parte degli operatori dell’Ente.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4. Il Personale di cui ai precedenti commi, in caso di dubbio sulla normativa, sul Modello o sulla sua applicazione, può richiedere i chiarimenti necessari all’Organismo di Vigilanza. </w:t>
      </w:r>
    </w:p>
    <w:p w:rsid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5. Il Personale non potrà per nessuna ragione invocare a propria scusa l’ignoranza della normativa in vigore o della propria qualifica ai fini penali, come determinata dagli arti. 357, 358 e 359 c.p. </w:t>
      </w:r>
    </w:p>
    <w:p w:rsidR="00B063DC" w:rsidRDefault="00B063DC" w:rsidP="00B063DC">
      <w:pPr>
        <w:spacing w:before="302" w:after="0"/>
        <w:ind w:right="4"/>
        <w:jc w:val="both"/>
        <w:rPr>
          <w:rFonts w:ascii="Times New Roman" w:eastAsia="Arial" w:hAnsi="Times New Roman"/>
          <w:color w:val="000000"/>
          <w:sz w:val="24"/>
          <w:szCs w:val="24"/>
          <w:lang w:eastAsia="it-IT"/>
        </w:rPr>
      </w:pPr>
    </w:p>
    <w:p w:rsidR="00B063DC" w:rsidRPr="00B063DC" w:rsidRDefault="00B063DC" w:rsidP="00B063DC">
      <w:pPr>
        <w:spacing w:before="302" w:after="0"/>
        <w:ind w:right="4"/>
        <w:jc w:val="both"/>
        <w:rPr>
          <w:rFonts w:ascii="Times New Roman" w:eastAsia="Arial" w:hAnsi="Times New Roman"/>
          <w:sz w:val="24"/>
          <w:szCs w:val="24"/>
          <w:lang w:eastAsia="it-IT"/>
        </w:rPr>
      </w:pPr>
    </w:p>
    <w:p w:rsidR="00B063DC" w:rsidRPr="00B063DC" w:rsidRDefault="00B063DC" w:rsidP="00B063DC">
      <w:pPr>
        <w:spacing w:before="235"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lastRenderedPageBreak/>
        <w:t>6 – Organo competente per l’informazione</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Il Presidente, i Direttori d’area e i Coordinatori sono tenuti alla reciproca informazione e consulenza su ciò che dell’attività di ciascuno possa riguardare anche la competenza dell’altro.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2. Alla reciproca informazione sono, altresì, tenuti tutti coloro i quali partecipano a fasi diverse di una stessa procedura amministrativa, sanitaria od assistenziale. </w:t>
      </w:r>
    </w:p>
    <w:p w:rsidR="00B063DC" w:rsidRPr="00B063DC" w:rsidRDefault="00B063DC" w:rsidP="00B063DC">
      <w:pPr>
        <w:spacing w:before="302"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3. Il Presidente, i Direttori d’area e i Coordinatori sono impegnati a far sì che, nel caso varie fasi della medesima procedura siano affidate a diversi operatori, non si produca un effetto di deresponsabilizzazione e sia sempre immediatamente possibile l’individuazione del soggetto responsabile. </w:t>
      </w:r>
    </w:p>
    <w:p w:rsidR="00B063DC" w:rsidRPr="00B063DC" w:rsidRDefault="00B063DC" w:rsidP="00B063DC">
      <w:pPr>
        <w:spacing w:before="240"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 xml:space="preserve">7 – Principi di contabilità </w:t>
      </w:r>
    </w:p>
    <w:p w:rsidR="00B063DC" w:rsidRPr="00B063DC" w:rsidRDefault="00B063DC" w:rsidP="00B063DC">
      <w:pPr>
        <w:spacing w:before="307"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Il sistema di contabilità dell’Ente garantisce la registrazione di ogni operazione di natura economico/finanziaria nel rispetto dei principi, dei criteri e delle modalità di redazione e tenuta della contabilità dettate dalle nonne vigenti. I destinatari, qualora vengano a conoscenza di omissioni, falsificazioni o inesattezze nelle registrazioni contabili o negli atti a queste riconducibili sono tenuti ad infornare tempestivamente l’Organo di Vigilanza. I principi contabili riportati nell’art. 2423 del codice civile (prudenza e continuità, realizzazione, competenza, valutazione separata e costanza) sono rispettati e perseguiti dall’Ente attraverso la redazione e la tenuta dei libri sociali previsti per le cooperative dalla normativa vigente. I libri sociali, con il bilancio di esercizio, sono i principali strumenti per garantire la trasparenza delle informazioni contabili. Il sistema amministrativo contabile ed il rispetto dei principi contabili è garantito anche da un Organo esterno denominato Collegio Sindacale. </w:t>
      </w:r>
    </w:p>
    <w:p w:rsidR="00B063DC" w:rsidRPr="00B063DC" w:rsidRDefault="00B063DC" w:rsidP="00B063DC">
      <w:pPr>
        <w:spacing w:before="240"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 xml:space="preserve">8 – Comportamento durante il lavoro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Il dipendente svolge la propria opera con impegno e costanza, attendendo quotidianamente e con solerzia alle mansioni ed agli incarichi affidatigli.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2. Il comportamento del dipendente è volto a stabilire rapporti di fiducia e collaborazione tra l’Ente ed i soggetti interessati, a qualunque titolo, all’attività da essa svolta. A tal fine il dipendente manifesta disponibilità e cortesia usando un linguaggio semplice, motivando le risposte e cooperando con riservatezza con quanti sono interessati al lavoro degli uffici. </w:t>
      </w:r>
    </w:p>
    <w:p w:rsid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3. Nel fruire dei beni e dei servizi a disposizione per il suo lavoro, il dipendente dovrà, in ogni momento, essere in grado di giustificarne l’uso come conforme al corretto esercizio della propria attività professionale, evitando sprechi ed impieghi inefficienti degli stessi. </w:t>
      </w:r>
    </w:p>
    <w:p w:rsidR="00B063DC" w:rsidRPr="00B063DC" w:rsidRDefault="00B063DC" w:rsidP="00B063DC">
      <w:pPr>
        <w:spacing w:before="302" w:after="0"/>
        <w:ind w:right="4"/>
        <w:jc w:val="both"/>
        <w:rPr>
          <w:rFonts w:ascii="Times New Roman" w:eastAsia="Arial" w:hAnsi="Times New Roman"/>
          <w:sz w:val="24"/>
          <w:szCs w:val="24"/>
          <w:lang w:eastAsia="it-IT"/>
        </w:rPr>
      </w:pPr>
    </w:p>
    <w:p w:rsidR="00B063DC" w:rsidRPr="00B063DC" w:rsidRDefault="00B063DC" w:rsidP="00B063DC">
      <w:pPr>
        <w:spacing w:before="475"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lastRenderedPageBreak/>
        <w:t xml:space="preserve">9 – Comportamento nella vita sociale </w:t>
      </w:r>
    </w:p>
    <w:p w:rsidR="00B063DC" w:rsidRPr="00B063DC" w:rsidRDefault="00B063DC" w:rsidP="00B063DC">
      <w:pPr>
        <w:spacing w:before="307"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1. I dipendenti, nei rapporti privati, evitano ogni abuso della propria posizione con lo scopo di conseguire indebiti vantaggi per sé o per altri. </w:t>
      </w:r>
    </w:p>
    <w:p w:rsidR="00B063DC" w:rsidRPr="00B063DC" w:rsidRDefault="00B063DC" w:rsidP="00B063DC">
      <w:pPr>
        <w:spacing w:before="240"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10 – Doveri di imparzialità e di disponibilità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I dipendenti operano con imparzialità, senza indulgere a trattamenti di favore; assumono le proprie decisioni nella massima trasparenza e respingono indebite pressioni. Non determinano, né concorrono a determinare, situazioni di privilegio. </w:t>
      </w:r>
    </w:p>
    <w:p w:rsidR="00B063DC" w:rsidRPr="00B063DC" w:rsidRDefault="00B063DC" w:rsidP="00B063DC">
      <w:pPr>
        <w:spacing w:before="302"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2. Assumono atteggiamenti di attenzione e di disponibilità verso ogni persona sofferente. </w:t>
      </w:r>
    </w:p>
    <w:p w:rsidR="00B063DC" w:rsidRPr="00B063DC" w:rsidRDefault="00B063DC" w:rsidP="00B063DC">
      <w:pPr>
        <w:spacing w:before="235"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11 – Divieto di accettare doni o altre utilità </w:t>
      </w:r>
    </w:p>
    <w:p w:rsidR="00B063DC" w:rsidRPr="00B063DC" w:rsidRDefault="00B063DC" w:rsidP="00B063DC">
      <w:pPr>
        <w:spacing w:before="235"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Ai dipendenti è fatto divieto di accettare, anche in occasioni di festività, per sé o per altri, donativi od altre utilità da soggetti in qualsiasi modo interessati dall’attività dell’Ente, ad eccezione dei regali d’uso di modico valore. </w:t>
      </w:r>
    </w:p>
    <w:p w:rsidR="00B063DC" w:rsidRPr="00B063DC" w:rsidRDefault="00B063DC" w:rsidP="00B063DC">
      <w:pPr>
        <w:spacing w:before="235"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2. Il soggetto che, indipendentemente dalla sua volontà, riceve doni o altre utilità di non modico valore, comunica tempestivamente e per iscritto la circostanza al responsabile dell’ufficio, provvedendo, nel contempo, alla restituzione di essi per il tramite dei competenti uffici dell’Ente. </w:t>
      </w:r>
    </w:p>
    <w:p w:rsidR="00B063DC" w:rsidRPr="00B063DC" w:rsidRDefault="00B063DC" w:rsidP="00B063DC">
      <w:pPr>
        <w:spacing w:before="547"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12 – Conflitto di interessi </w:t>
      </w:r>
    </w:p>
    <w:p w:rsidR="00B063DC" w:rsidRPr="00B063DC" w:rsidRDefault="00B063DC" w:rsidP="00B063DC">
      <w:pPr>
        <w:spacing w:before="307"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I dipendenti non assumono decisioni e non svolgono attività inerenti alle loro mansioni, ove versino in situazioni di conflitto di interesse. </w:t>
      </w:r>
    </w:p>
    <w:p w:rsidR="00B063DC" w:rsidRPr="00B063DC" w:rsidRDefault="00B063DC" w:rsidP="00B063DC">
      <w:pPr>
        <w:spacing w:before="307"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2. I dipendenti hanno l’obbligo di astenersi in ogni caso in cui esistano evidenti ragioni di opportunità. </w:t>
      </w:r>
    </w:p>
    <w:p w:rsidR="00B063DC" w:rsidRPr="00B063DC" w:rsidRDefault="00B063DC" w:rsidP="00B063DC">
      <w:pPr>
        <w:spacing w:before="307"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3. Il dipendente motiva per iscritto l’intenzione di astenersi al responsabile dell’ufficio, il quale decide sull’astensione. </w:t>
      </w:r>
    </w:p>
    <w:p w:rsidR="00B063DC" w:rsidRPr="00B063DC" w:rsidRDefault="00B063DC" w:rsidP="00B063DC">
      <w:pPr>
        <w:spacing w:before="235"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13 – Obbligo di riservatezza </w:t>
      </w:r>
    </w:p>
    <w:p w:rsidR="00B063DC" w:rsidRPr="00B063DC" w:rsidRDefault="00B063DC" w:rsidP="00B063DC">
      <w:pPr>
        <w:spacing w:before="307"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1. I dipendenti sono tenuti al rigoroso rispetto del segreto d’ufficio e di ogni ulteriore obbligo di riservatezza inerente alla qualità di pubblico ufficiale propria dei dipendenti dell’Ente nell’esercizio delle loro funzioni. </w:t>
      </w:r>
    </w:p>
    <w:p w:rsidR="00B063DC" w:rsidRDefault="00B063DC" w:rsidP="00B063DC">
      <w:pPr>
        <w:spacing w:before="31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2. In particolare, fuori dai casi previsti dalla normativa vigente, sono tenuti a non fornire informazioni in merito ad attività dell’Ente, ai dati aziendali ed alle condizioni generali degli assistiti. </w:t>
      </w:r>
    </w:p>
    <w:p w:rsidR="00B063DC" w:rsidRPr="00B063DC" w:rsidRDefault="00B063DC" w:rsidP="00B063DC">
      <w:pPr>
        <w:spacing w:before="312" w:after="0"/>
        <w:ind w:right="4"/>
        <w:jc w:val="both"/>
        <w:rPr>
          <w:rFonts w:ascii="Times New Roman" w:eastAsia="Arial" w:hAnsi="Times New Roman"/>
          <w:sz w:val="24"/>
          <w:szCs w:val="24"/>
          <w:lang w:eastAsia="it-IT"/>
        </w:rPr>
      </w:pPr>
    </w:p>
    <w:p w:rsidR="00B063DC" w:rsidRPr="00B063DC" w:rsidRDefault="00B063DC" w:rsidP="00B063DC">
      <w:pPr>
        <w:spacing w:before="240"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lastRenderedPageBreak/>
        <w:t>14 – Divieto di attività collaterali </w:t>
      </w:r>
    </w:p>
    <w:p w:rsidR="00B063DC" w:rsidRPr="00B063DC" w:rsidRDefault="00B063DC" w:rsidP="00B063DC">
      <w:pPr>
        <w:spacing w:before="302"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1. I dipendenti non possono in ogni caso svolgere attività che impediscano o riducono l’adempimento dei compiti di ufficio o che contrastino con esso. </w:t>
      </w:r>
    </w:p>
    <w:p w:rsidR="00B063DC" w:rsidRPr="00B063DC" w:rsidRDefault="00B063DC" w:rsidP="00B063DC">
      <w:pPr>
        <w:spacing w:before="269"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15 – Accesso alle reti informatiche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L’accesso alla rete informatica aziendale, finalizzato all’inserimento, alla modifica ovvero alla comunicazione a/da terzi di dati in essa contenuti, ovvero a qualunque intervento sui programmi destinati ad elaborarli, deve avvenire tramite l’utilizzo di doppia chiave asimmetrica, composta da una parte pubblica (cosiddetta </w:t>
      </w:r>
      <w:proofErr w:type="spellStart"/>
      <w:r w:rsidRPr="00B063DC">
        <w:rPr>
          <w:rFonts w:ascii="Times New Roman" w:eastAsia="Arial" w:hAnsi="Times New Roman"/>
          <w:i/>
          <w:iCs/>
          <w:color w:val="000000"/>
          <w:sz w:val="24"/>
          <w:szCs w:val="24"/>
          <w:lang w:eastAsia="it-IT"/>
        </w:rPr>
        <w:t>user</w:t>
      </w:r>
      <w:proofErr w:type="spellEnd"/>
      <w:r w:rsidRPr="00B063DC">
        <w:rPr>
          <w:rFonts w:ascii="Times New Roman" w:eastAsia="Arial" w:hAnsi="Times New Roman"/>
          <w:i/>
          <w:iCs/>
          <w:color w:val="000000"/>
          <w:sz w:val="24"/>
          <w:szCs w:val="24"/>
          <w:lang w:eastAsia="it-IT"/>
        </w:rPr>
        <w:t xml:space="preserve"> </w:t>
      </w:r>
      <w:r w:rsidRPr="00B063DC">
        <w:rPr>
          <w:rFonts w:ascii="Times New Roman" w:eastAsia="Arial" w:hAnsi="Times New Roman"/>
          <w:color w:val="000000"/>
          <w:sz w:val="24"/>
          <w:szCs w:val="24"/>
          <w:lang w:eastAsia="it-IT"/>
        </w:rPr>
        <w:t xml:space="preserve">ID) e da una parte privata (cosiddetta </w:t>
      </w:r>
      <w:r w:rsidRPr="00B063DC">
        <w:rPr>
          <w:rFonts w:ascii="Times New Roman" w:eastAsia="Arial" w:hAnsi="Times New Roman"/>
          <w:i/>
          <w:iCs/>
          <w:color w:val="000000"/>
          <w:sz w:val="24"/>
          <w:szCs w:val="24"/>
          <w:lang w:eastAsia="it-IT"/>
        </w:rPr>
        <w:t>password</w:t>
      </w:r>
      <w:r w:rsidRPr="00B063DC">
        <w:rPr>
          <w:rFonts w:ascii="Times New Roman" w:eastAsia="Arial" w:hAnsi="Times New Roman"/>
          <w:color w:val="000000"/>
          <w:sz w:val="24"/>
          <w:szCs w:val="24"/>
          <w:lang w:eastAsia="it-IT"/>
        </w:rPr>
        <w:t xml:space="preserve">), che consenta all’operatore di accedere alla rete limitatamente alla fase, di sua competenza, della procedura.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2. Ad ogni operatore autorizzato ad accedere alla rete sono attribuite una </w:t>
      </w:r>
      <w:proofErr w:type="spellStart"/>
      <w:r w:rsidRPr="00B063DC">
        <w:rPr>
          <w:rFonts w:ascii="Times New Roman" w:eastAsia="Arial" w:hAnsi="Times New Roman"/>
          <w:i/>
          <w:iCs/>
          <w:color w:val="000000"/>
          <w:sz w:val="24"/>
          <w:szCs w:val="24"/>
          <w:lang w:eastAsia="it-IT"/>
        </w:rPr>
        <w:t>user</w:t>
      </w:r>
      <w:proofErr w:type="spellEnd"/>
      <w:r w:rsidRPr="00B063DC">
        <w:rPr>
          <w:rFonts w:ascii="Times New Roman" w:eastAsia="Arial" w:hAnsi="Times New Roman"/>
          <w:i/>
          <w:iCs/>
          <w:color w:val="000000"/>
          <w:sz w:val="24"/>
          <w:szCs w:val="24"/>
          <w:lang w:eastAsia="it-IT"/>
        </w:rPr>
        <w:t xml:space="preserve"> </w:t>
      </w:r>
      <w:r w:rsidRPr="00B063DC">
        <w:rPr>
          <w:rFonts w:ascii="Times New Roman" w:eastAsia="Arial" w:hAnsi="Times New Roman"/>
          <w:color w:val="000000"/>
          <w:sz w:val="24"/>
          <w:szCs w:val="24"/>
          <w:lang w:eastAsia="it-IT"/>
        </w:rPr>
        <w:t xml:space="preserve">ID ed una </w:t>
      </w:r>
      <w:r w:rsidRPr="00B063DC">
        <w:rPr>
          <w:rFonts w:ascii="Times New Roman" w:eastAsia="Arial" w:hAnsi="Times New Roman"/>
          <w:i/>
          <w:iCs/>
          <w:color w:val="000000"/>
          <w:sz w:val="24"/>
          <w:szCs w:val="24"/>
          <w:lang w:eastAsia="it-IT"/>
        </w:rPr>
        <w:t xml:space="preserve">password </w:t>
      </w:r>
      <w:r w:rsidRPr="00B063DC">
        <w:rPr>
          <w:rFonts w:ascii="Times New Roman" w:eastAsia="Arial" w:hAnsi="Times New Roman"/>
          <w:color w:val="000000"/>
          <w:sz w:val="24"/>
          <w:szCs w:val="24"/>
          <w:lang w:eastAsia="it-IT"/>
        </w:rPr>
        <w:t xml:space="preserve">personale, che l’operatore si impegna a non comunicare a terzi.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3. </w:t>
      </w:r>
      <w:proofErr w:type="gramStart"/>
      <w:r w:rsidRPr="00B063DC">
        <w:rPr>
          <w:rFonts w:ascii="Times New Roman" w:eastAsia="Arial" w:hAnsi="Times New Roman"/>
          <w:color w:val="000000"/>
          <w:sz w:val="24"/>
          <w:szCs w:val="24"/>
          <w:lang w:eastAsia="it-IT"/>
        </w:rPr>
        <w:t>E’</w:t>
      </w:r>
      <w:proofErr w:type="gramEnd"/>
      <w:r w:rsidRPr="00B063DC">
        <w:rPr>
          <w:rFonts w:ascii="Times New Roman" w:eastAsia="Arial" w:hAnsi="Times New Roman"/>
          <w:color w:val="000000"/>
          <w:sz w:val="24"/>
          <w:szCs w:val="24"/>
          <w:lang w:eastAsia="it-IT"/>
        </w:rPr>
        <w:t xml:space="preserve"> vietato utilizzare la </w:t>
      </w:r>
      <w:proofErr w:type="spellStart"/>
      <w:r w:rsidRPr="00B063DC">
        <w:rPr>
          <w:rFonts w:ascii="Times New Roman" w:eastAsia="Arial" w:hAnsi="Times New Roman"/>
          <w:i/>
          <w:iCs/>
          <w:color w:val="000000"/>
          <w:sz w:val="24"/>
          <w:szCs w:val="24"/>
          <w:lang w:eastAsia="it-IT"/>
        </w:rPr>
        <w:t>user</w:t>
      </w:r>
      <w:proofErr w:type="spellEnd"/>
      <w:r w:rsidRPr="00B063DC">
        <w:rPr>
          <w:rFonts w:ascii="Times New Roman" w:eastAsia="Arial" w:hAnsi="Times New Roman"/>
          <w:i/>
          <w:iCs/>
          <w:color w:val="000000"/>
          <w:sz w:val="24"/>
          <w:szCs w:val="24"/>
          <w:lang w:eastAsia="it-IT"/>
        </w:rPr>
        <w:t xml:space="preserve"> </w:t>
      </w:r>
      <w:r w:rsidRPr="00B063DC">
        <w:rPr>
          <w:rFonts w:ascii="Times New Roman" w:eastAsia="Arial" w:hAnsi="Times New Roman"/>
          <w:color w:val="000000"/>
          <w:sz w:val="24"/>
          <w:szCs w:val="24"/>
          <w:lang w:eastAsia="it-IT"/>
        </w:rPr>
        <w:t xml:space="preserve">ID e la password di altro operatore.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4. Al personale è vietato tassativamente alterare il funzionamento di un sistema informatico o telematico o intervenire illegalmente con qualsiasi modalità su dati, informazioni o programmi contenuti in un sistema informatico o telematico, o ad esso pertinente, a danno dello Stato o di altro Ente pubblico, per procurare direttamente od indirettamente un vantaggio od un’utilità all’Ente.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5. Osservano, altresì, le particolari ed ulteriori regole presenti in altre parti del presente documento nonché le norme e misure a tutela dei dati personali di cui al GDPR (Regolamento generale europeo sulla protezione dei dati) e al DPIA. </w:t>
      </w:r>
    </w:p>
    <w:p w:rsidR="00B063DC" w:rsidRPr="00B063DC" w:rsidRDefault="00B063DC" w:rsidP="00B063DC">
      <w:pPr>
        <w:keepNext/>
        <w:keepLines/>
        <w:spacing w:before="360" w:after="80"/>
        <w:jc w:val="center"/>
        <w:outlineLvl w:val="1"/>
        <w:rPr>
          <w:rFonts w:ascii="Times New Roman" w:eastAsia="Arial" w:hAnsi="Times New Roman"/>
          <w:b/>
          <w:sz w:val="24"/>
          <w:szCs w:val="24"/>
          <w:lang w:eastAsia="it-IT"/>
        </w:rPr>
      </w:pPr>
      <w:bookmarkStart w:id="4" w:name="_Toc27394279"/>
      <w:r w:rsidRPr="00B063DC">
        <w:rPr>
          <w:rFonts w:ascii="Times New Roman" w:eastAsia="Arial" w:hAnsi="Times New Roman"/>
          <w:b/>
          <w:sz w:val="24"/>
          <w:szCs w:val="24"/>
          <w:lang w:eastAsia="it-IT"/>
        </w:rPr>
        <w:t>CAPO III</w:t>
      </w:r>
      <w:bookmarkEnd w:id="4"/>
    </w:p>
    <w:p w:rsidR="00B063DC" w:rsidRPr="00B063DC" w:rsidRDefault="00B063DC" w:rsidP="00B063DC">
      <w:pPr>
        <w:spacing w:before="307" w:after="0"/>
        <w:ind w:right="4"/>
        <w:jc w:val="center"/>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CONDOTTA NEI COMPORTAMENTI CON RILEVANZA ESTERNA</w:t>
      </w:r>
    </w:p>
    <w:p w:rsidR="00B063DC" w:rsidRPr="00B063DC" w:rsidRDefault="00B063DC" w:rsidP="00B063DC">
      <w:pPr>
        <w:spacing w:before="254"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16 – Correttezza delle informazioni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Il Bilancio deve assicurare in modo veritiero e corretto la situazione patrimoniale e finanziaria dell’Ente ed il risultato economico, tenendo anche conto del complesso degli Enti od Organizzazioni, anche societari, controllati dall’Ente.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2. Le comunicazioni od i progetti che vengono resi ad Autorità, ad Istituti bancari, ai creditori ed ai terzi in genere, devono essere conformi alle risultanze di Bilancio e, comunque, rispondenti alla reale situazione economica, patrimoniale e finanziaria dell’Ente.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lastRenderedPageBreak/>
        <w:t xml:space="preserve">3. In ogni caso va evitata qualsiasi indicazione non corrispondente al vero o comunque idonea ad indurre in errore i terzi.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4. Analoghi criteri vanno osservati nelle iniziative o nelle attività promozionali svolte al fine di conseguire l’apporto dell’oblatività privata.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5. Ogni progetto reso da soggetti esterni e contenente dati informativi di carattere economico va sottoscritta, nell’originale e nella copia, da chi lo ha compilato </w:t>
      </w:r>
      <w:proofErr w:type="gramStart"/>
      <w:r w:rsidRPr="00B063DC">
        <w:rPr>
          <w:rFonts w:ascii="Times New Roman" w:eastAsia="Arial" w:hAnsi="Times New Roman"/>
          <w:color w:val="000000"/>
          <w:sz w:val="24"/>
          <w:szCs w:val="24"/>
          <w:lang w:eastAsia="it-IT"/>
        </w:rPr>
        <w:t>e</w:t>
      </w:r>
      <w:proofErr w:type="gramEnd"/>
      <w:r w:rsidRPr="00B063DC">
        <w:rPr>
          <w:rFonts w:ascii="Times New Roman" w:eastAsia="Arial" w:hAnsi="Times New Roman"/>
          <w:color w:val="000000"/>
          <w:sz w:val="24"/>
          <w:szCs w:val="24"/>
          <w:lang w:eastAsia="it-IT"/>
        </w:rPr>
        <w:t xml:space="preserve"> la copia va conservata agli atti. </w:t>
      </w:r>
    </w:p>
    <w:p w:rsidR="00B063DC" w:rsidRPr="00B063DC" w:rsidRDefault="00B063DC" w:rsidP="00B063DC">
      <w:pPr>
        <w:spacing w:before="302"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6. Nessuna sollecitazione o influenza può essere esercitata nei confronti di chi è stato chiamato – o ragionevolmente può essere chiamato – a rendere dichiarazioni davanti all’Autorità Giudiziaria. </w:t>
      </w:r>
    </w:p>
    <w:p w:rsidR="00B063DC" w:rsidRPr="00B063DC" w:rsidRDefault="00B063DC" w:rsidP="00B063DC">
      <w:pPr>
        <w:spacing w:before="235"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17 – Incassi e pagamenti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Gli incassi ed i pagamenti sono di regola eseguiti attraverso operazioni demandate agli Istituti bancari opportunamente indicati.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2. Nell’ambito dell’Ente i pagamenti e gli incassi direttamente effettuati per ragioni di economicità e di funzionalità, possono essere effettuati solo da soggetti ai quali, secondo l’ordinamento dell’Ente o le sue disposizioni di servizio, sono attribuite le funzioni contabili od economali. </w:t>
      </w:r>
    </w:p>
    <w:p w:rsidR="00B063DC" w:rsidRPr="00B063DC" w:rsidRDefault="00B063DC" w:rsidP="00B063DC">
      <w:pPr>
        <w:spacing w:before="302"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3. I soggetti che procedono a pagamenti ed incassi, con particolare riguardo alle operazioni di incasso per contanti, sono tenuti a verificare la regolarità della moneta e dei titoli e, in ogni caso di possibile dubbio, ad avvalersi degli strumenti per congrue verifiche. </w:t>
      </w:r>
    </w:p>
    <w:p w:rsidR="00B063DC" w:rsidRPr="00B063DC" w:rsidRDefault="00B063DC" w:rsidP="00B063DC">
      <w:pPr>
        <w:spacing w:before="312"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18 – Rapporti cogli Organi di controllo interno e di revisione </w:t>
      </w:r>
    </w:p>
    <w:p w:rsidR="00B063DC" w:rsidRPr="00B063DC" w:rsidRDefault="00B063DC" w:rsidP="00B063DC">
      <w:pPr>
        <w:spacing w:before="307"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1. Tutti coloro che, nell’ambito delle rispettive competenze, hanno rapporti con Enti od Organi di controllo previsti da norme Statutaria o da disposizioni regolamentari, sono tenuti a favorire lo svolgimento dell’attività di controllo e di revisione, fornendo informazioni complete e dati veritieri. </w:t>
      </w:r>
    </w:p>
    <w:p w:rsidR="00B063DC" w:rsidRPr="00B063DC" w:rsidRDefault="00B063DC" w:rsidP="00B063DC">
      <w:pPr>
        <w:spacing w:before="235"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19 – Rapporti con le Autorità di vigilanza </w:t>
      </w:r>
    </w:p>
    <w:p w:rsidR="00B063DC" w:rsidRPr="00B063DC" w:rsidRDefault="00B063DC" w:rsidP="00B063DC">
      <w:pPr>
        <w:spacing w:before="302"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1. I rapporti con le Autorità che esercitano attività di vigilanza in rapporto alle norme civili sulle cooperative, o in rapporto alle attività esercitate in regime di accreditamento o di convenzione, vanno ispirate a veridicità e collaborazione. </w:t>
      </w:r>
    </w:p>
    <w:p w:rsid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2. Relativamente agli atti ed alle attività sui quali - ai sensi di legge - può esercitarsi il controllo dell’Autorità giudiziaria o dei competenti Organi della Pubblica Amministrazione, va assicurata la consultazione o l’acquisizione di tutti gli elementi necessari per permettere lo svolgimento dell’attività di vigilanza. </w:t>
      </w:r>
    </w:p>
    <w:p w:rsidR="00B063DC" w:rsidRPr="00B063DC" w:rsidRDefault="00B063DC" w:rsidP="00B063DC">
      <w:pPr>
        <w:spacing w:before="302" w:after="0"/>
        <w:ind w:right="4"/>
        <w:jc w:val="both"/>
        <w:rPr>
          <w:rFonts w:ascii="Times New Roman" w:eastAsia="Arial" w:hAnsi="Times New Roman"/>
          <w:sz w:val="24"/>
          <w:szCs w:val="24"/>
          <w:lang w:eastAsia="it-IT"/>
        </w:rPr>
      </w:pPr>
    </w:p>
    <w:p w:rsidR="00B063DC" w:rsidRPr="00B063DC" w:rsidRDefault="00B063DC" w:rsidP="00B063DC">
      <w:pPr>
        <w:spacing w:before="302"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lastRenderedPageBreak/>
        <w:t>20 – Rapporti di fornitura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La scelta del contraente per la fornitura di opere, beni o servizi all’Ente va effettuata nel rispetto dei principi dell’economicità, della trasparenza, dell’efficacia e della parità di trattamento. </w:t>
      </w:r>
    </w:p>
    <w:p w:rsidR="00B063DC" w:rsidRPr="00B063DC" w:rsidRDefault="00B063DC" w:rsidP="00B063DC">
      <w:pPr>
        <w:spacing w:before="302"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2. Va accertato che chi aspira a rendersi fornitore dell’Ente possegga adeguati requisiti di idoneità morale, capacità tecnico-professionale ed economico-finanziaria. </w:t>
      </w:r>
    </w:p>
    <w:p w:rsidR="00B063DC" w:rsidRPr="00B063DC" w:rsidRDefault="00B063DC" w:rsidP="00B063DC">
      <w:pPr>
        <w:keepNext/>
        <w:keepLines/>
        <w:spacing w:before="360" w:after="80"/>
        <w:jc w:val="center"/>
        <w:outlineLvl w:val="1"/>
        <w:rPr>
          <w:rFonts w:ascii="Times New Roman" w:eastAsia="Arial" w:hAnsi="Times New Roman"/>
          <w:b/>
          <w:sz w:val="24"/>
          <w:szCs w:val="24"/>
          <w:lang w:eastAsia="it-IT"/>
        </w:rPr>
      </w:pPr>
      <w:bookmarkStart w:id="5" w:name="_Toc27394280"/>
      <w:r w:rsidRPr="00B063DC">
        <w:rPr>
          <w:rFonts w:ascii="Times New Roman" w:eastAsia="Arial" w:hAnsi="Times New Roman"/>
          <w:b/>
          <w:sz w:val="24"/>
          <w:szCs w:val="24"/>
          <w:lang w:eastAsia="it-IT"/>
        </w:rPr>
        <w:t>CAPO IV</w:t>
      </w:r>
      <w:bookmarkEnd w:id="5"/>
    </w:p>
    <w:p w:rsidR="00B063DC" w:rsidRPr="00B063DC" w:rsidRDefault="00B063DC" w:rsidP="00B063DC">
      <w:pPr>
        <w:spacing w:before="307" w:after="0"/>
        <w:ind w:right="4"/>
        <w:jc w:val="center"/>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RAPPORTI CON GLI UTENTI E MISURE PER L’EROGAZIONE E LA REMUNERAZIONE DELLE PRESTAZIONI</w:t>
      </w:r>
    </w:p>
    <w:p w:rsidR="00B063DC" w:rsidRPr="00B063DC" w:rsidRDefault="00B063DC" w:rsidP="00B063DC">
      <w:pPr>
        <w:spacing w:before="586"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21 – Congruità della presenza nelle strutture residenziali e delle prestazioni </w:t>
      </w:r>
    </w:p>
    <w:p w:rsidR="00B063DC" w:rsidRPr="00B063DC" w:rsidRDefault="00B063DC" w:rsidP="00B063DC">
      <w:pPr>
        <w:spacing w:before="250"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La presenza nelle strutture comunitarie residenziali, l’accoglienza e, in genere, la individuazione delle prestazioni da erogare, devono essere disposti e conclusi esclusivamente in funzione di esigenze o bisogni degli assistiti in corrispondenza alle attività proprie dell’Ente. </w:t>
      </w:r>
    </w:p>
    <w:p w:rsidR="00B063DC" w:rsidRPr="00B063DC" w:rsidRDefault="00B063DC" w:rsidP="00B063DC">
      <w:pPr>
        <w:spacing w:before="250"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2. Qualora si accerti che gli ospiti non necessitano delle prestazioni fornite dall’Ente, il personale addetto all’assistenza dovrà immediatamente segnalare tali condizioni e circostanze, accertate dai Responsabili di riferimento, al fine di consentire la valutazione del congedo, della </w:t>
      </w:r>
      <w:proofErr w:type="spellStart"/>
      <w:r w:rsidRPr="00B063DC">
        <w:rPr>
          <w:rFonts w:ascii="Times New Roman" w:eastAsia="Arial" w:hAnsi="Times New Roman"/>
          <w:color w:val="000000"/>
          <w:sz w:val="24"/>
          <w:szCs w:val="24"/>
          <w:lang w:eastAsia="it-IT"/>
        </w:rPr>
        <w:t>dimissibilità</w:t>
      </w:r>
      <w:proofErr w:type="spellEnd"/>
      <w:r w:rsidRPr="00B063DC">
        <w:rPr>
          <w:rFonts w:ascii="Times New Roman" w:eastAsia="Arial" w:hAnsi="Times New Roman"/>
          <w:color w:val="000000"/>
          <w:sz w:val="24"/>
          <w:szCs w:val="24"/>
          <w:lang w:eastAsia="it-IT"/>
        </w:rPr>
        <w:t xml:space="preserve"> e 1’assunzione dei relativi provvedimenti. </w:t>
      </w:r>
    </w:p>
    <w:p w:rsidR="00B063DC" w:rsidRPr="00B063DC" w:rsidRDefault="00B063DC" w:rsidP="00B063DC">
      <w:pPr>
        <w:spacing w:before="250"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3. Dovranno essere pertanto segnalati ai Responsabili di riferimento tutte le circostanze che possano esprimere la tendenza di congiunti o di terzi a favorire o protrarre la permanenza nella struttura, in vista di attività di riduzione della condizione di piena libertà ed autonomia delle persone interessate. </w:t>
      </w:r>
    </w:p>
    <w:p w:rsidR="00B063DC" w:rsidRPr="00B063DC" w:rsidRDefault="00B063DC" w:rsidP="00B063DC">
      <w:pPr>
        <w:spacing w:before="230"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22 – Rapporti con gli utenti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L’Ente, attraverso la professionalità dei propri Operatori e le strutture tecnologiche di cui dispone, vuole assicurare, agli utenti, adeguati standard di prestazioni e di prestazioni accessorie, anche a supporto dei bisogni sociali ed assistenziali.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2. L’Ente garantisce, attraverso la Carta dei servizi e le note contrattuali allegate agli accordi economici con gli utenti, completa informazione del servizio e delle prestazioni rese, al fine di consentire di aderire al servizio e al piano educativo individualizzato con piena consapevolezza</w:t>
      </w:r>
    </w:p>
    <w:p w:rsidR="00B063DC" w:rsidRPr="00B063DC" w:rsidRDefault="00B063DC" w:rsidP="00B063DC">
      <w:pPr>
        <w:spacing w:before="302"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 xml:space="preserve">3. L’Ente cura la raccolta di tutti i dati ed elementi utili per la migliore erogazione del servizio agli utenti; nello stesso tempo assicura che i dati raccolti saranno trattati ai fini del progetto educativo individualizzato </w:t>
      </w:r>
      <w:r w:rsidR="00461018" w:rsidRPr="00B063DC">
        <w:rPr>
          <w:rFonts w:ascii="Times New Roman" w:eastAsia="Arial" w:hAnsi="Times New Roman"/>
          <w:color w:val="000000"/>
          <w:sz w:val="24"/>
          <w:szCs w:val="24"/>
          <w:lang w:eastAsia="it-IT"/>
        </w:rPr>
        <w:t>nonché</w:t>
      </w:r>
      <w:r w:rsidRPr="00B063DC">
        <w:rPr>
          <w:rFonts w:ascii="Times New Roman" w:eastAsia="Arial" w:hAnsi="Times New Roman"/>
          <w:color w:val="000000"/>
          <w:sz w:val="24"/>
          <w:szCs w:val="24"/>
          <w:lang w:eastAsia="it-IT"/>
        </w:rPr>
        <w:t xml:space="preserve"> del debito informativo e delle rendicontazioni da rendere alla Pubblica </w:t>
      </w:r>
      <w:r w:rsidRPr="00B063DC">
        <w:rPr>
          <w:rFonts w:ascii="Times New Roman" w:eastAsia="Arial" w:hAnsi="Times New Roman"/>
          <w:color w:val="000000"/>
          <w:sz w:val="24"/>
          <w:szCs w:val="24"/>
          <w:lang w:eastAsia="it-IT"/>
        </w:rPr>
        <w:lastRenderedPageBreak/>
        <w:t xml:space="preserve">amministrazione in caso di servizio accreditato, convenzionato o reso nell’ambito di bandi progettuali e di </w:t>
      </w:r>
      <w:proofErr w:type="spellStart"/>
      <w:r w:rsidRPr="00B063DC">
        <w:rPr>
          <w:rFonts w:ascii="Times New Roman" w:eastAsia="Arial" w:hAnsi="Times New Roman"/>
          <w:color w:val="000000"/>
          <w:sz w:val="24"/>
          <w:szCs w:val="24"/>
          <w:lang w:eastAsia="it-IT"/>
        </w:rPr>
        <w:t>coprogettazione</w:t>
      </w:r>
      <w:proofErr w:type="spellEnd"/>
      <w:r w:rsidRPr="00B063DC">
        <w:rPr>
          <w:rFonts w:ascii="Times New Roman" w:eastAsia="Arial" w:hAnsi="Times New Roman"/>
          <w:color w:val="000000"/>
          <w:sz w:val="24"/>
          <w:szCs w:val="24"/>
          <w:lang w:eastAsia="it-IT"/>
        </w:rPr>
        <w:t>, assicurando la maggiore riservatezza sotto ogni altro profilo. </w:t>
      </w:r>
    </w:p>
    <w:p w:rsidR="00B063DC" w:rsidRPr="00B063DC" w:rsidRDefault="00B063DC" w:rsidP="00B063DC">
      <w:pPr>
        <w:spacing w:before="235"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23 – Prestazioni a tariffa </w:t>
      </w:r>
    </w:p>
    <w:p w:rsidR="00B063DC" w:rsidRPr="00B063DC" w:rsidRDefault="00B063DC" w:rsidP="00B063DC">
      <w:pPr>
        <w:spacing w:before="235"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Nelle prestazioni remunerate dalla Pubblica Amministrazione con applicazione di tariffe forfettarie predeterminate, va assicurata l’erogazione di tutti gli interventi previsti dalle vigenti normative o convenuti in specifiche convenzioni. </w:t>
      </w:r>
    </w:p>
    <w:p w:rsidR="00B063DC" w:rsidRPr="00B063DC" w:rsidRDefault="00B063DC" w:rsidP="00B063DC">
      <w:pPr>
        <w:spacing w:before="235"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Nel caso dell’attivazione di servizi sociosanitari, i Direttori Responsabili assicurano il recepimento, nei protocolli di cura e assistenza e nelle procedure interne, dei vincoli all’erogazione delle prestazioni imposte dalla Legge o dai provvedimenti delle Autorità sanitarie. </w:t>
      </w:r>
    </w:p>
    <w:p w:rsidR="00B063DC" w:rsidRPr="00B063DC" w:rsidRDefault="00B063DC" w:rsidP="00B063DC">
      <w:pPr>
        <w:spacing w:before="269"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24 – Prestazioni a rendiconto </w:t>
      </w:r>
    </w:p>
    <w:p w:rsidR="00B063DC" w:rsidRPr="00B063DC" w:rsidRDefault="00B063DC" w:rsidP="00B063DC">
      <w:pPr>
        <w:spacing w:before="307"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In caso di prestazioni o servizi o ricerche finanziate dalla Pubblica Amministrazione sulla base dei costi effettivi occorsi, la previsione del costo complessivo va effettuata sulla base di computi ragionevoli ed attendibili. </w:t>
      </w:r>
    </w:p>
    <w:p w:rsidR="00B063DC" w:rsidRPr="00B063DC" w:rsidRDefault="00B063DC" w:rsidP="00B063DC">
      <w:pPr>
        <w:spacing w:before="307"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2. La rendicontazione va resa sulla base dei costi e degli oneri effettivi occorsi. Agli atti vanno conservati i rendiconti resi alla Pubblica Amministrazione, corredati di tutti gli elementi giustificativi. I rendiconti vanno stesi da soggetto diverso rispetto a quello che ha predisposto il preventivo. </w:t>
      </w:r>
    </w:p>
    <w:p w:rsidR="00B063DC" w:rsidRPr="00B063DC" w:rsidRDefault="00B063DC" w:rsidP="00B063DC">
      <w:pPr>
        <w:spacing w:before="235"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25 – Esposizione e fatturazione delle prestazioni </w:t>
      </w:r>
    </w:p>
    <w:p w:rsidR="00B063DC" w:rsidRPr="00B063DC" w:rsidRDefault="00B063DC" w:rsidP="00B063DC">
      <w:pPr>
        <w:spacing w:before="302"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1. Tutti coloro che, a qualunque titolo, svolgono la loro attività nell’Ente, si impegnano, nei limiti delle rispettive competenze, così come determinate dal C.C.N.L., dall’Accordo Nazionale per i medici libero-professionisti, da contratti con associazioni professionali o singoli sanitari, e dal Regolamenti interni, ad operare per rispettare quanto stabilito dal D.P.R. 1/3/1994 in G.U. (</w:t>
      </w:r>
      <w:proofErr w:type="spellStart"/>
      <w:r w:rsidRPr="00B063DC">
        <w:rPr>
          <w:rFonts w:ascii="Times New Roman" w:eastAsia="Arial" w:hAnsi="Times New Roman"/>
          <w:color w:val="000000"/>
          <w:sz w:val="24"/>
          <w:szCs w:val="24"/>
          <w:lang w:eastAsia="it-IT"/>
        </w:rPr>
        <w:t>suppl</w:t>
      </w:r>
      <w:proofErr w:type="spellEnd"/>
      <w:r w:rsidRPr="00B063DC">
        <w:rPr>
          <w:rFonts w:ascii="Times New Roman" w:eastAsia="Arial" w:hAnsi="Times New Roman"/>
          <w:color w:val="000000"/>
          <w:sz w:val="24"/>
          <w:szCs w:val="24"/>
          <w:lang w:eastAsia="it-IT"/>
        </w:rPr>
        <w:t xml:space="preserve">. </w:t>
      </w:r>
      <w:proofErr w:type="spellStart"/>
      <w:r w:rsidRPr="00B063DC">
        <w:rPr>
          <w:rFonts w:ascii="Times New Roman" w:eastAsia="Arial" w:hAnsi="Times New Roman"/>
          <w:color w:val="000000"/>
          <w:sz w:val="24"/>
          <w:szCs w:val="24"/>
          <w:lang w:eastAsia="it-IT"/>
        </w:rPr>
        <w:t>ord</w:t>
      </w:r>
      <w:proofErr w:type="spellEnd"/>
      <w:r w:rsidRPr="00B063DC">
        <w:rPr>
          <w:rFonts w:ascii="Times New Roman" w:eastAsia="Arial" w:hAnsi="Times New Roman"/>
          <w:color w:val="000000"/>
          <w:sz w:val="24"/>
          <w:szCs w:val="24"/>
          <w:lang w:eastAsia="it-IT"/>
        </w:rPr>
        <w:t xml:space="preserve">.) n. 171 del 23/7/1994, punto 8, c.5, n.1 e segg., in materia di finanziamento delle attività sanitarie, socio-sanitarie, socio-assistenziali, di ricerca e di formazione, al fine di evitare i possibili incentivi “perversi” tipicamente associati al sistema di remunerazione a prestazione. </w:t>
      </w:r>
    </w:p>
    <w:p w:rsidR="00B063DC" w:rsidRPr="00B063DC" w:rsidRDefault="00B063DC" w:rsidP="00B063DC">
      <w:pPr>
        <w:spacing w:before="302"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2. Le fatture, oltre ad essere sottoscritta dal Presidente o dal Direttore dei servizi, ove presente, deve contenere, almeno nella copia che rimane agli atti, le firme di chi, per la Direzione amministrativa e per quella di Area, ha effettuato i controlli sulle prestazioni effettivamente rese e sui relativi costi. </w:t>
      </w:r>
    </w:p>
    <w:p w:rsidR="00461018" w:rsidRDefault="00461018">
      <w:pPr>
        <w:spacing w:after="0" w:line="240" w:lineRule="auto"/>
        <w:rPr>
          <w:rFonts w:ascii="Times New Roman" w:eastAsia="Arial" w:hAnsi="Times New Roman"/>
          <w:b/>
          <w:sz w:val="24"/>
          <w:szCs w:val="24"/>
          <w:lang w:eastAsia="it-IT"/>
        </w:rPr>
      </w:pPr>
      <w:bookmarkStart w:id="6" w:name="_Toc27394281"/>
      <w:r>
        <w:rPr>
          <w:rFonts w:ascii="Times New Roman" w:eastAsia="Arial" w:hAnsi="Times New Roman"/>
          <w:b/>
          <w:sz w:val="24"/>
          <w:szCs w:val="24"/>
          <w:lang w:eastAsia="it-IT"/>
        </w:rPr>
        <w:br w:type="page"/>
      </w:r>
    </w:p>
    <w:p w:rsidR="00B063DC" w:rsidRPr="00B063DC" w:rsidRDefault="00B063DC" w:rsidP="00B063DC">
      <w:pPr>
        <w:keepNext/>
        <w:keepLines/>
        <w:spacing w:before="360" w:after="80"/>
        <w:jc w:val="center"/>
        <w:outlineLvl w:val="1"/>
        <w:rPr>
          <w:rFonts w:ascii="Times New Roman" w:eastAsia="Arial" w:hAnsi="Times New Roman"/>
          <w:b/>
          <w:sz w:val="24"/>
          <w:szCs w:val="24"/>
          <w:lang w:eastAsia="it-IT"/>
        </w:rPr>
      </w:pPr>
      <w:r w:rsidRPr="00B063DC">
        <w:rPr>
          <w:rFonts w:ascii="Times New Roman" w:eastAsia="Arial" w:hAnsi="Times New Roman"/>
          <w:b/>
          <w:sz w:val="24"/>
          <w:szCs w:val="24"/>
          <w:lang w:eastAsia="it-IT"/>
        </w:rPr>
        <w:lastRenderedPageBreak/>
        <w:t>CAPO V</w:t>
      </w:r>
      <w:bookmarkEnd w:id="6"/>
    </w:p>
    <w:p w:rsidR="00B063DC" w:rsidRPr="00B063DC" w:rsidRDefault="00B063DC" w:rsidP="00B063DC">
      <w:pPr>
        <w:spacing w:before="240" w:after="0"/>
        <w:ind w:right="6"/>
        <w:jc w:val="center"/>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TUTELA DEL LAVORO</w:t>
      </w:r>
    </w:p>
    <w:p w:rsidR="00B063DC" w:rsidRPr="00B063DC" w:rsidRDefault="00B063DC" w:rsidP="00B063DC">
      <w:pPr>
        <w:spacing w:before="259"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26 – Tutela della dignità dei lavoratori </w:t>
      </w:r>
    </w:p>
    <w:p w:rsidR="00B063DC" w:rsidRPr="00B063DC" w:rsidRDefault="00B063DC" w:rsidP="00B063DC">
      <w:pPr>
        <w:spacing w:before="307"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Il valore della centralità della persona è assunto anche nei rapporti di lavoro. </w:t>
      </w:r>
    </w:p>
    <w:p w:rsidR="00B063DC" w:rsidRPr="00B063DC" w:rsidRDefault="00B063DC" w:rsidP="00B063DC">
      <w:pPr>
        <w:spacing w:before="307"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2. L’Ente si assicura che lo svolgimento del rapporto di lavoro ed il tenore dei rapporti fra i vari operatori avvengano con modalità compatibili alla dignità dei lavoratori. </w:t>
      </w:r>
    </w:p>
    <w:p w:rsidR="00B063DC" w:rsidRPr="00B063DC" w:rsidRDefault="00B063DC" w:rsidP="00B063DC">
      <w:pPr>
        <w:spacing w:before="307" w:after="0"/>
        <w:ind w:right="4"/>
        <w:jc w:val="both"/>
        <w:rPr>
          <w:rFonts w:ascii="Times New Roman" w:eastAsia="Arial" w:hAnsi="Times New Roman"/>
          <w:sz w:val="24"/>
          <w:szCs w:val="24"/>
          <w:lang w:eastAsia="it-IT"/>
        </w:rPr>
      </w:pPr>
      <w:r w:rsidRPr="00B063DC">
        <w:rPr>
          <w:rFonts w:ascii="Times New Roman" w:eastAsia="Arial" w:hAnsi="Times New Roman"/>
          <w:color w:val="000000"/>
          <w:sz w:val="24"/>
          <w:szCs w:val="24"/>
          <w:lang w:eastAsia="it-IT"/>
        </w:rPr>
        <w:t>3. L’Ente assicura ai lavoratori la possibilità di esporre situazioni o condizioni particolarmente lesive della dignità di ciascun dipendente. </w:t>
      </w:r>
    </w:p>
    <w:p w:rsidR="00B063DC" w:rsidRPr="00B063DC" w:rsidRDefault="00B063DC" w:rsidP="00B063DC">
      <w:pPr>
        <w:spacing w:before="235" w:after="0"/>
        <w:ind w:right="4"/>
        <w:jc w:val="both"/>
        <w:rPr>
          <w:rFonts w:ascii="Times New Roman" w:eastAsia="Arial" w:hAnsi="Times New Roman"/>
          <w:sz w:val="24"/>
          <w:szCs w:val="24"/>
          <w:lang w:eastAsia="it-IT"/>
        </w:rPr>
      </w:pPr>
      <w:r w:rsidRPr="00B063DC">
        <w:rPr>
          <w:rFonts w:ascii="Times New Roman" w:eastAsia="Arial" w:hAnsi="Times New Roman"/>
          <w:b/>
          <w:bCs/>
          <w:color w:val="000000"/>
          <w:sz w:val="24"/>
          <w:szCs w:val="24"/>
          <w:lang w:eastAsia="it-IT"/>
        </w:rPr>
        <w:t>27 – Tutela della salute e della sicurezza dei lavoratori </w:t>
      </w:r>
    </w:p>
    <w:p w:rsidR="00B063DC" w:rsidRPr="00B063DC" w:rsidRDefault="00B063DC" w:rsidP="00B063DC">
      <w:pPr>
        <w:spacing w:before="235"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1. L’Ente si propone di praticare il costante miglioramento della sicurezza e negli ambiti di lavoro, presenti nella legislazione della salute dei lavoratori osservando tutte le regole in materia. </w:t>
      </w:r>
    </w:p>
    <w:p w:rsidR="00B063DC" w:rsidRPr="00B063DC" w:rsidRDefault="00B063DC" w:rsidP="00B063DC">
      <w:pPr>
        <w:spacing w:before="235"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2. Il servizio di prevenzione e protezione provvede: </w:t>
      </w:r>
    </w:p>
    <w:p w:rsidR="00B063DC" w:rsidRPr="00B063DC" w:rsidRDefault="00B063DC" w:rsidP="00B063DC">
      <w:pPr>
        <w:numPr>
          <w:ilvl w:val="1"/>
          <w:numId w:val="4"/>
        </w:numPr>
        <w:spacing w:before="235" w:after="0"/>
        <w:ind w:left="426" w:right="4" w:hanging="426"/>
        <w:contextualSpacing/>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all’individuazione dei fattori di rischio, alla valutazione dei rischi e all’ individuazione delle misure per la sicurezza e la salubrità degli ambienti di lavoro, nel rispetto della normativa vigente sulla base della specifica conoscenza dell’organizzazione aziendale; </w:t>
      </w:r>
    </w:p>
    <w:p w:rsidR="00B063DC" w:rsidRPr="00B063DC" w:rsidRDefault="00B063DC" w:rsidP="00B063DC">
      <w:pPr>
        <w:numPr>
          <w:ilvl w:val="1"/>
          <w:numId w:val="4"/>
        </w:numPr>
        <w:spacing w:before="235" w:after="0"/>
        <w:ind w:left="426" w:right="4" w:hanging="426"/>
        <w:contextualSpacing/>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ad elaborare, per quanto di competenza, le misure preventive e protettive ed i sistemi di controllo di tali misure; </w:t>
      </w:r>
    </w:p>
    <w:p w:rsidR="00B063DC" w:rsidRPr="00B063DC" w:rsidRDefault="00B063DC" w:rsidP="00B063DC">
      <w:pPr>
        <w:numPr>
          <w:ilvl w:val="1"/>
          <w:numId w:val="4"/>
        </w:numPr>
        <w:spacing w:before="235" w:after="0"/>
        <w:ind w:left="426" w:right="4" w:hanging="426"/>
        <w:contextualSpacing/>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ad elaborare le misure di sicurezza per le varie attività aziendali; </w:t>
      </w:r>
    </w:p>
    <w:p w:rsidR="00B063DC" w:rsidRPr="00B063DC" w:rsidRDefault="00B063DC" w:rsidP="00B063DC">
      <w:pPr>
        <w:numPr>
          <w:ilvl w:val="1"/>
          <w:numId w:val="4"/>
        </w:numPr>
        <w:spacing w:before="235" w:after="0"/>
        <w:ind w:left="426" w:right="4" w:hanging="426"/>
        <w:contextualSpacing/>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a proporre i programmi di informazione e formazione dei lavoratori; </w:t>
      </w:r>
    </w:p>
    <w:p w:rsidR="00B063DC" w:rsidRPr="00B063DC" w:rsidRDefault="00B063DC" w:rsidP="00B063DC">
      <w:pPr>
        <w:numPr>
          <w:ilvl w:val="1"/>
          <w:numId w:val="4"/>
        </w:numPr>
        <w:spacing w:before="235" w:after="0"/>
        <w:ind w:left="426" w:right="4" w:hanging="426"/>
        <w:contextualSpacing/>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a partecipare alle consultazioni in materia di tutela della salute e sicurezza sul lavoro, nonché alle riunioni periodiche; </w:t>
      </w:r>
    </w:p>
    <w:p w:rsidR="00B063DC" w:rsidRPr="00B063DC" w:rsidRDefault="00B063DC" w:rsidP="00B063DC">
      <w:pPr>
        <w:numPr>
          <w:ilvl w:val="1"/>
          <w:numId w:val="4"/>
        </w:numPr>
        <w:spacing w:before="235" w:after="0"/>
        <w:ind w:left="426" w:right="4" w:hanging="426"/>
        <w:contextualSpacing/>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a fornire ai lavoratori le informazioni dovute ed opportune. </w:t>
      </w:r>
    </w:p>
    <w:p w:rsidR="00B063DC" w:rsidRPr="00B063DC" w:rsidRDefault="00B063DC" w:rsidP="00B063DC">
      <w:pPr>
        <w:spacing w:before="235"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3. L’Ente è tenuto: </w:t>
      </w:r>
    </w:p>
    <w:p w:rsidR="00B063DC" w:rsidRPr="00B063DC" w:rsidRDefault="00B063DC" w:rsidP="00B063DC">
      <w:pPr>
        <w:numPr>
          <w:ilvl w:val="1"/>
          <w:numId w:val="4"/>
        </w:numPr>
        <w:spacing w:before="235" w:after="0"/>
        <w:ind w:left="426" w:right="4" w:hanging="426"/>
        <w:contextualSpacing/>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a stabilire ed assumere le misure per la gestione della sicurezza; </w:t>
      </w:r>
    </w:p>
    <w:p w:rsidR="00B063DC" w:rsidRPr="00B063DC" w:rsidRDefault="00B063DC" w:rsidP="00B063DC">
      <w:pPr>
        <w:numPr>
          <w:ilvl w:val="1"/>
          <w:numId w:val="4"/>
        </w:numPr>
        <w:spacing w:before="235" w:after="0"/>
        <w:ind w:left="426" w:right="4" w:hanging="426"/>
        <w:contextualSpacing/>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a svolgere adeguate attività di formazione, informazione ed addestramento contro i rischi; </w:t>
      </w:r>
    </w:p>
    <w:p w:rsidR="00B063DC" w:rsidRPr="00B063DC" w:rsidRDefault="00B063DC" w:rsidP="00B063DC">
      <w:pPr>
        <w:numPr>
          <w:ilvl w:val="1"/>
          <w:numId w:val="4"/>
        </w:numPr>
        <w:spacing w:before="235" w:after="0"/>
        <w:ind w:left="426" w:right="4" w:hanging="426"/>
        <w:contextualSpacing/>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ad assicurare la sorveglianza sanitaria secondo quanto stabilito dalla legge; </w:t>
      </w:r>
    </w:p>
    <w:p w:rsidR="00B063DC" w:rsidRPr="00B063DC" w:rsidRDefault="00B063DC" w:rsidP="00B063DC">
      <w:pPr>
        <w:numPr>
          <w:ilvl w:val="1"/>
          <w:numId w:val="4"/>
        </w:numPr>
        <w:spacing w:before="235" w:after="0"/>
        <w:ind w:left="426" w:right="4" w:hanging="426"/>
        <w:contextualSpacing/>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 xml:space="preserve">ad assicurare il rispetto degli standard tecnico-strumentali di legge relativi alle attrezzature, apparecchiature, impianti, luoghi di lavoro, agenti chimici, fisici e biologici. </w:t>
      </w:r>
    </w:p>
    <w:p w:rsidR="00B063DC" w:rsidRPr="00B063DC" w:rsidRDefault="00B063DC" w:rsidP="00B063DC">
      <w:pPr>
        <w:spacing w:before="235" w:after="0"/>
        <w:ind w:right="4"/>
        <w:jc w:val="both"/>
        <w:rPr>
          <w:rFonts w:ascii="Times New Roman" w:eastAsia="Arial" w:hAnsi="Times New Roman"/>
          <w:color w:val="000000"/>
          <w:sz w:val="24"/>
          <w:szCs w:val="24"/>
          <w:lang w:eastAsia="it-IT"/>
        </w:rPr>
      </w:pPr>
      <w:r w:rsidRPr="00B063DC">
        <w:rPr>
          <w:rFonts w:ascii="Times New Roman" w:eastAsia="Arial" w:hAnsi="Times New Roman"/>
          <w:color w:val="000000"/>
          <w:sz w:val="24"/>
          <w:szCs w:val="24"/>
          <w:lang w:eastAsia="it-IT"/>
        </w:rPr>
        <w:t>4. L’organizzazione aziendale del lavoro fa riferimento e recepisce le linee guida UNI-INAIL (SGSL) 28/9/2001 per la protezione della salute e della sicurezza sul lavoro. </w:t>
      </w:r>
    </w:p>
    <w:p w:rsidR="00B063DC" w:rsidRPr="00B063DC" w:rsidRDefault="00B063DC" w:rsidP="00B063DC">
      <w:pPr>
        <w:spacing w:before="235" w:after="0"/>
        <w:ind w:right="4"/>
        <w:jc w:val="both"/>
        <w:rPr>
          <w:rFonts w:ascii="Times New Roman" w:eastAsia="Arial" w:hAnsi="Times New Roman"/>
          <w:sz w:val="24"/>
          <w:szCs w:val="24"/>
          <w:lang w:eastAsia="it-IT"/>
        </w:rPr>
      </w:pPr>
    </w:p>
    <w:p w:rsidR="00B063DC" w:rsidRPr="00B063DC" w:rsidRDefault="00B063DC" w:rsidP="00B063DC">
      <w:pPr>
        <w:spacing w:after="0"/>
        <w:ind w:right="4"/>
        <w:jc w:val="center"/>
        <w:rPr>
          <w:rFonts w:ascii="Times New Roman" w:eastAsia="Arial" w:hAnsi="Times New Roman"/>
          <w:b/>
          <w:sz w:val="24"/>
          <w:szCs w:val="24"/>
          <w:lang w:eastAsia="it-IT"/>
        </w:rPr>
      </w:pPr>
      <w:r w:rsidRPr="00B063DC">
        <w:rPr>
          <w:rFonts w:ascii="Times New Roman" w:eastAsia="Arial" w:hAnsi="Times New Roman"/>
          <w:b/>
          <w:sz w:val="24"/>
          <w:szCs w:val="24"/>
          <w:lang w:eastAsia="it-IT"/>
        </w:rPr>
        <w:t>SISTEMA DISCIPLINARE</w:t>
      </w:r>
    </w:p>
    <w:p w:rsidR="00B063DC" w:rsidRPr="00B063DC" w:rsidRDefault="00B063DC" w:rsidP="00B063DC">
      <w:pPr>
        <w:spacing w:after="0"/>
        <w:ind w:right="4"/>
        <w:jc w:val="both"/>
        <w:rPr>
          <w:rFonts w:ascii="Times New Roman" w:eastAsia="Arial" w:hAnsi="Times New Roman"/>
          <w:sz w:val="24"/>
          <w:szCs w:val="24"/>
          <w:lang w:eastAsia="it-IT"/>
        </w:rPr>
      </w:pPr>
    </w:p>
    <w:p w:rsidR="00B063DC" w:rsidRPr="00B063DC" w:rsidRDefault="00B063DC" w:rsidP="00B063DC">
      <w:pPr>
        <w:spacing w:after="0"/>
        <w:ind w:right="4" w:firstLine="720"/>
        <w:jc w:val="both"/>
        <w:rPr>
          <w:rFonts w:ascii="Times New Roman" w:eastAsia="Arial" w:hAnsi="Times New Roman"/>
          <w:sz w:val="24"/>
          <w:szCs w:val="24"/>
          <w:lang w:eastAsia="it-IT"/>
        </w:rPr>
      </w:pPr>
      <w:r w:rsidRPr="00B063DC">
        <w:rPr>
          <w:rFonts w:ascii="Times New Roman" w:eastAsia="Arial" w:hAnsi="Times New Roman"/>
          <w:sz w:val="24"/>
          <w:szCs w:val="24"/>
          <w:lang w:eastAsia="it-IT"/>
        </w:rPr>
        <w:lastRenderedPageBreak/>
        <w:t xml:space="preserve">Aspetto essenziale per l'effettività del Modello, di cui è </w:t>
      </w:r>
      <w:proofErr w:type="spellStart"/>
      <w:r w:rsidRPr="00B063DC">
        <w:rPr>
          <w:rFonts w:ascii="Times New Roman" w:eastAsia="Arial" w:hAnsi="Times New Roman"/>
          <w:sz w:val="24"/>
          <w:szCs w:val="24"/>
          <w:lang w:eastAsia="it-IT"/>
        </w:rPr>
        <w:t>parter</w:t>
      </w:r>
      <w:proofErr w:type="spellEnd"/>
      <w:r w:rsidRPr="00B063DC">
        <w:rPr>
          <w:rFonts w:ascii="Times New Roman" w:eastAsia="Arial" w:hAnsi="Times New Roman"/>
          <w:sz w:val="24"/>
          <w:szCs w:val="24"/>
          <w:lang w:eastAsia="it-IT"/>
        </w:rPr>
        <w:t xml:space="preserve"> integrante il Codice etico comportamentale, è costituito dalla costruzione di un adeguato sistema sanzionatorio per la violazione delle regole di condotta e, in generale, delle procedure interne. L'applicazione di sanzioni disciplinari per violazione delle regole di condotta aziendali prescinde dall'esito del giudizio penale, in quanto tali regole sono assunte dalla Cooperativa in piena autonomia ed a prescindere dall'illecito che eventuali condotte possano determinare. </w:t>
      </w:r>
    </w:p>
    <w:p w:rsidR="00B063DC" w:rsidRPr="00B063DC" w:rsidRDefault="00B063DC" w:rsidP="00B063DC">
      <w:pPr>
        <w:spacing w:after="0"/>
        <w:ind w:right="4" w:firstLine="720"/>
        <w:jc w:val="both"/>
        <w:rPr>
          <w:rFonts w:ascii="Times New Roman" w:eastAsia="Arial" w:hAnsi="Times New Roman"/>
          <w:sz w:val="24"/>
          <w:szCs w:val="24"/>
          <w:lang w:eastAsia="it-IT"/>
        </w:rPr>
      </w:pPr>
      <w:r w:rsidRPr="00B063DC">
        <w:rPr>
          <w:rFonts w:ascii="Times New Roman" w:eastAsia="Arial" w:hAnsi="Times New Roman"/>
          <w:sz w:val="24"/>
          <w:szCs w:val="24"/>
          <w:lang w:eastAsia="it-IT"/>
        </w:rPr>
        <w:t xml:space="preserve">I comportamenti tenuti dai lavoratori subordinati in violazione delle singole regole comportamentali dedotte nel presente Modello e Codice Etico sono definiti come illeciti disciplinari. </w:t>
      </w:r>
    </w:p>
    <w:p w:rsidR="00B063DC" w:rsidRPr="00B063DC" w:rsidRDefault="00B063DC" w:rsidP="00B063DC">
      <w:pPr>
        <w:spacing w:after="0"/>
        <w:ind w:right="4" w:firstLine="720"/>
        <w:jc w:val="both"/>
        <w:rPr>
          <w:rFonts w:ascii="Times New Roman" w:eastAsia="Arial" w:hAnsi="Times New Roman"/>
          <w:sz w:val="24"/>
          <w:szCs w:val="24"/>
          <w:lang w:eastAsia="it-IT"/>
        </w:rPr>
      </w:pPr>
      <w:r w:rsidRPr="00B063DC">
        <w:rPr>
          <w:rFonts w:ascii="Times New Roman" w:eastAsia="Arial" w:hAnsi="Times New Roman"/>
          <w:sz w:val="24"/>
          <w:szCs w:val="24"/>
          <w:lang w:eastAsia="it-IT"/>
        </w:rPr>
        <w:t xml:space="preserve">Con riferimento alle sanzioni irrogabili nei riguardi di detti lavoratori subordinati esse rientrano tra quelle previste dal Regolamento disciplinare aziendale, nel rispetto delle procedure previste dall'articolo 7 dello Statuto dei lavoratori ed eventuali normative speciali applicabili. </w:t>
      </w:r>
    </w:p>
    <w:p w:rsidR="00B063DC" w:rsidRPr="00B063DC" w:rsidRDefault="00B063DC" w:rsidP="00B063DC">
      <w:pPr>
        <w:spacing w:after="0"/>
        <w:ind w:right="4" w:firstLine="720"/>
        <w:jc w:val="both"/>
        <w:rPr>
          <w:rFonts w:ascii="Times New Roman" w:eastAsia="Arial" w:hAnsi="Times New Roman"/>
          <w:sz w:val="24"/>
          <w:szCs w:val="24"/>
          <w:lang w:eastAsia="it-IT"/>
        </w:rPr>
      </w:pPr>
      <w:r w:rsidRPr="00B063DC">
        <w:rPr>
          <w:rFonts w:ascii="Times New Roman" w:eastAsia="Arial" w:hAnsi="Times New Roman"/>
          <w:sz w:val="24"/>
          <w:szCs w:val="24"/>
          <w:lang w:eastAsia="it-IT"/>
        </w:rPr>
        <w:t xml:space="preserve">In relazione a quanto sopra il Modello fa riferimento alle categorie di fatti sanzionabili previste dall'apparato sanzionatorio esistente e cioè le norme pattizie di cui ai Contratti Collettivi applicati in azienda. Tali categorie descrivono i comportamenti sanzionati, in base al rilievo che assumono le singole fattispecie considerate, e le sanzioni in concreto previste per la commissione dei fatti stessi a seconda della loro gravità. </w:t>
      </w:r>
    </w:p>
    <w:p w:rsidR="00B063DC" w:rsidRPr="00B063DC" w:rsidRDefault="00B063DC" w:rsidP="00B063DC">
      <w:pPr>
        <w:spacing w:after="0"/>
        <w:ind w:right="4" w:firstLine="720"/>
        <w:jc w:val="both"/>
        <w:rPr>
          <w:rFonts w:ascii="Times New Roman" w:eastAsia="Arial" w:hAnsi="Times New Roman"/>
          <w:sz w:val="24"/>
          <w:szCs w:val="24"/>
          <w:lang w:eastAsia="it-IT"/>
        </w:rPr>
      </w:pPr>
      <w:r w:rsidRPr="00B063DC">
        <w:rPr>
          <w:rFonts w:ascii="Times New Roman" w:eastAsia="Arial" w:hAnsi="Times New Roman"/>
          <w:sz w:val="24"/>
          <w:szCs w:val="24"/>
          <w:lang w:eastAsia="it-IT"/>
        </w:rPr>
        <w:t xml:space="preserve">Sanzioni per i lavoratori subordinati cui si applica il Contratto Collettivo Nazionale di Lavoro per i lavoratori delle cooperative del settore socio-sanitario-assistenziale-educativo e di inserimento lavorativo </w:t>
      </w:r>
    </w:p>
    <w:p w:rsidR="00B063DC" w:rsidRPr="00B063DC" w:rsidRDefault="00B063DC" w:rsidP="00B063DC">
      <w:pPr>
        <w:spacing w:after="0"/>
        <w:ind w:right="4" w:firstLine="720"/>
        <w:jc w:val="both"/>
        <w:rPr>
          <w:rFonts w:ascii="Times New Roman" w:eastAsia="Arial" w:hAnsi="Times New Roman"/>
          <w:sz w:val="24"/>
          <w:szCs w:val="24"/>
          <w:lang w:eastAsia="it-IT"/>
        </w:rPr>
      </w:pPr>
      <w:r w:rsidRPr="00B063DC">
        <w:rPr>
          <w:rFonts w:ascii="Times New Roman" w:eastAsia="Arial" w:hAnsi="Times New Roman"/>
          <w:sz w:val="24"/>
          <w:szCs w:val="24"/>
          <w:lang w:eastAsia="it-IT"/>
        </w:rPr>
        <w:t xml:space="preserve">In applicazione dei “Provvedimenti disciplinari” contenuti nel vigente Contratto Collettivo Nazionale, nel rispetto di ogni regola, procedura e garanzia prevista dalla legge e dal CCNL si prevede che: </w:t>
      </w:r>
    </w:p>
    <w:p w:rsidR="00B063DC" w:rsidRPr="00B063DC" w:rsidRDefault="00B063DC" w:rsidP="00B063DC">
      <w:pPr>
        <w:spacing w:after="0"/>
        <w:ind w:right="4" w:firstLine="720"/>
        <w:jc w:val="both"/>
        <w:rPr>
          <w:rFonts w:ascii="Times New Roman" w:eastAsia="Arial" w:hAnsi="Times New Roman"/>
          <w:sz w:val="24"/>
          <w:szCs w:val="24"/>
          <w:lang w:eastAsia="it-IT"/>
        </w:rPr>
      </w:pPr>
      <w:r w:rsidRPr="00B063DC">
        <w:rPr>
          <w:rFonts w:ascii="Times New Roman" w:eastAsia="Arial" w:hAnsi="Times New Roman"/>
          <w:sz w:val="24"/>
          <w:szCs w:val="24"/>
          <w:lang w:eastAsia="it-IT"/>
        </w:rPr>
        <w:t xml:space="preserve">1. Incorre nei provvedimenti di RIMPROVERO SCRITTO, MULTA O SOSPENSIONE il lavoratore che violi le procedure interne previste dal presente Modello (ad esempio: che non osservi le procedure prescritte, ometta di dare comunicazione all'Organismo di Vigilanza delle informazioni prescritte, ometta di svolgere controlli, ecc.) o adotti, nell'espletamento di Attività sensibili, un comportamento non conforme alle prescrizioni del Modello stesso. La sanzione sarà commisurata alla gravità dell'infrazione e alla reiterazione della stessa (della recidività si terrà conto anche ai fini della commisurazione di una eventuale sanzione espulsiva), e comunque non potrà essere superiore all’importo pari a 4 ore della normale retribuzione in caso di multa, e di 3 giorni nel caso di sospensione dalla retribuzione e dal servizio; </w:t>
      </w:r>
    </w:p>
    <w:p w:rsidR="00B063DC" w:rsidRPr="00B063DC" w:rsidRDefault="00B063DC" w:rsidP="00B063DC">
      <w:pPr>
        <w:spacing w:after="0"/>
        <w:ind w:right="4" w:firstLine="720"/>
        <w:jc w:val="both"/>
        <w:rPr>
          <w:rFonts w:ascii="Times New Roman" w:eastAsia="Arial" w:hAnsi="Times New Roman"/>
          <w:sz w:val="24"/>
          <w:szCs w:val="24"/>
          <w:lang w:eastAsia="it-IT"/>
        </w:rPr>
      </w:pPr>
      <w:r w:rsidRPr="00B063DC">
        <w:rPr>
          <w:rFonts w:ascii="Times New Roman" w:eastAsia="Arial" w:hAnsi="Times New Roman"/>
          <w:sz w:val="24"/>
          <w:szCs w:val="24"/>
          <w:lang w:eastAsia="it-IT"/>
        </w:rPr>
        <w:t xml:space="preserve">2. Incorre, inoltre, anche nel provvedimento di LICENZIAMENTO CON PREAVVISO, il lavoratore che adotti nell'espletamento delle Attività sensibili un comportamento non conforme alle prescrizioni del Modello e diretto in modo univoco al compimento di un reato sanzionato dal D. </w:t>
      </w:r>
      <w:proofErr w:type="spellStart"/>
      <w:r w:rsidRPr="00B063DC">
        <w:rPr>
          <w:rFonts w:ascii="Times New Roman" w:eastAsia="Arial" w:hAnsi="Times New Roman"/>
          <w:sz w:val="24"/>
          <w:szCs w:val="24"/>
          <w:lang w:eastAsia="it-IT"/>
        </w:rPr>
        <w:t>Lgs</w:t>
      </w:r>
      <w:proofErr w:type="spellEnd"/>
      <w:r w:rsidRPr="00B063DC">
        <w:rPr>
          <w:rFonts w:ascii="Times New Roman" w:eastAsia="Arial" w:hAnsi="Times New Roman"/>
          <w:sz w:val="24"/>
          <w:szCs w:val="24"/>
          <w:lang w:eastAsia="it-IT"/>
        </w:rPr>
        <w:t xml:space="preserve">. 231/2001, dovendosi ravvisare in tale comportamento un'infrazione alla disciplina ed alla diligenza del lavoro; </w:t>
      </w:r>
    </w:p>
    <w:p w:rsidR="00B063DC" w:rsidRPr="00B063DC" w:rsidRDefault="00B063DC" w:rsidP="00B063DC">
      <w:pPr>
        <w:spacing w:after="0"/>
        <w:ind w:right="4" w:firstLine="720"/>
        <w:jc w:val="both"/>
        <w:rPr>
          <w:rFonts w:ascii="Times New Roman" w:eastAsia="Arial" w:hAnsi="Times New Roman"/>
          <w:sz w:val="24"/>
          <w:szCs w:val="24"/>
          <w:lang w:eastAsia="it-IT"/>
        </w:rPr>
      </w:pPr>
      <w:r w:rsidRPr="00B063DC">
        <w:rPr>
          <w:rFonts w:ascii="Times New Roman" w:eastAsia="Arial" w:hAnsi="Times New Roman"/>
          <w:sz w:val="24"/>
          <w:szCs w:val="24"/>
          <w:lang w:eastAsia="it-IT"/>
        </w:rPr>
        <w:t xml:space="preserve">3. Incorre, infine, anche nel provvedimento di LICENZIAMENTO SENZA PREAVVISO il lavoratore che adotti, nell'espletamento delle Attività sensibili un comportamento palesemente in violazione delle prescrizioni del Modello, tale da determinare la concreta applicazione a carico del consorzio di misure previste dal Decreto, dovendosi ravvisare in tale comportamento un'infrazione alla disciplina ed alla diligenza del lavoro così grave da non consentire la prosecuzione nemmeno provvisoria del rapporto di lavoro nonché un atto che costituisce delitto a termine di legge. </w:t>
      </w:r>
    </w:p>
    <w:p w:rsidR="00B063DC" w:rsidRPr="00B063DC" w:rsidRDefault="00B063DC" w:rsidP="00B063DC">
      <w:pPr>
        <w:spacing w:after="0"/>
        <w:ind w:right="4" w:firstLine="720"/>
        <w:jc w:val="both"/>
        <w:rPr>
          <w:rFonts w:ascii="Times New Roman" w:eastAsia="Arial" w:hAnsi="Times New Roman"/>
          <w:sz w:val="24"/>
          <w:szCs w:val="24"/>
          <w:lang w:eastAsia="it-IT"/>
        </w:rPr>
      </w:pPr>
      <w:r w:rsidRPr="00B063DC">
        <w:rPr>
          <w:rFonts w:ascii="Times New Roman" w:eastAsia="Arial" w:hAnsi="Times New Roman"/>
          <w:sz w:val="24"/>
          <w:szCs w:val="24"/>
          <w:lang w:eastAsia="it-IT"/>
        </w:rPr>
        <w:lastRenderedPageBreak/>
        <w:t xml:space="preserve">Per quanto riguarda l'accertamento delle suddette infrazioni, i procedimenti disciplinari e l'irrogazione delle sanzioni restano invariati i poteri già conferiti, nei limiti della rispettiva competenza, al CDA. Il sistema disciplinare viene costantemente monitorato dal CDA con il supporto, se necessario, dell'Organismo di Vigilanza. Ai lavoratori verrà data un'immediata e diffusa informazione circa l'introduzione delle nuove disposizioni, diramando una circolare interna per spiegare le ragioni che le hanno giustificate e riassumerne il contenuto. Il sistema sanzionatorio farà riferimento ai singoli contratti di categoria e sarà quindi coerentemente applicato anche a lavoratori eventualmente assunti con diverso contratto di lavoro. </w:t>
      </w:r>
    </w:p>
    <w:p w:rsidR="00B063DC" w:rsidRPr="00B063DC" w:rsidRDefault="00B063DC" w:rsidP="00B063DC">
      <w:pPr>
        <w:spacing w:after="0"/>
        <w:ind w:right="4" w:firstLine="720"/>
        <w:jc w:val="both"/>
        <w:rPr>
          <w:rFonts w:ascii="Times New Roman" w:eastAsia="Arial" w:hAnsi="Times New Roman"/>
          <w:sz w:val="24"/>
          <w:szCs w:val="24"/>
          <w:lang w:eastAsia="it-IT"/>
        </w:rPr>
      </w:pPr>
    </w:p>
    <w:p w:rsidR="00B063DC" w:rsidRPr="00B063DC" w:rsidRDefault="00B063DC" w:rsidP="00B063DC">
      <w:pPr>
        <w:spacing w:after="0"/>
        <w:ind w:right="4" w:firstLine="720"/>
        <w:jc w:val="both"/>
        <w:rPr>
          <w:rFonts w:ascii="Times New Roman" w:eastAsia="Arial" w:hAnsi="Times New Roman"/>
          <w:sz w:val="24"/>
          <w:szCs w:val="24"/>
          <w:lang w:eastAsia="it-IT"/>
        </w:rPr>
      </w:pPr>
      <w:r w:rsidRPr="00B063DC">
        <w:rPr>
          <w:rFonts w:ascii="Times New Roman" w:eastAsia="Arial" w:hAnsi="Times New Roman"/>
          <w:sz w:val="24"/>
          <w:szCs w:val="24"/>
          <w:lang w:eastAsia="it-IT"/>
        </w:rPr>
        <w:t xml:space="preserve">In caso di violazione, da parte di dirigenti, delle procedure interne previste dal Modello o di adozione, nell'espletamento di attività sensibili, di un comportamento non conforme alle prescrizioni del Modello stesso, si provvederà ad applicare nei confronti dei responsabili le misure più idonee in conformità a quanto previsto dal Contratto Collettivo Nazionale di Lavoro. </w:t>
      </w:r>
    </w:p>
    <w:p w:rsidR="00B063DC" w:rsidRPr="00B063DC" w:rsidRDefault="00B063DC" w:rsidP="00B063DC">
      <w:pPr>
        <w:spacing w:after="0"/>
        <w:ind w:right="4" w:firstLine="720"/>
        <w:jc w:val="both"/>
        <w:rPr>
          <w:rFonts w:ascii="Times New Roman" w:eastAsia="Arial" w:hAnsi="Times New Roman"/>
          <w:sz w:val="24"/>
          <w:szCs w:val="24"/>
          <w:lang w:eastAsia="it-IT"/>
        </w:rPr>
      </w:pPr>
    </w:p>
    <w:p w:rsidR="00B063DC" w:rsidRPr="00B063DC" w:rsidRDefault="00B063DC" w:rsidP="00B063DC">
      <w:pPr>
        <w:spacing w:after="0"/>
        <w:ind w:right="4" w:firstLine="720"/>
        <w:jc w:val="both"/>
        <w:rPr>
          <w:rFonts w:ascii="Times New Roman" w:eastAsia="Times New Roman" w:hAnsi="Times New Roman"/>
          <w:sz w:val="24"/>
          <w:szCs w:val="24"/>
          <w:lang w:eastAsia="it-IT"/>
        </w:rPr>
      </w:pPr>
      <w:r w:rsidRPr="00B063DC">
        <w:rPr>
          <w:rFonts w:ascii="Times New Roman" w:eastAsia="Arial" w:hAnsi="Times New Roman"/>
          <w:sz w:val="24"/>
          <w:szCs w:val="24"/>
          <w:lang w:eastAsia="it-IT"/>
        </w:rPr>
        <w:t xml:space="preserve">In caso di violazione del Modello da parte dei Consiglieri di Amministrazione, l'Organismo di Vigilanza informerà il </w:t>
      </w:r>
      <w:proofErr w:type="spellStart"/>
      <w:r w:rsidRPr="00B063DC">
        <w:rPr>
          <w:rFonts w:ascii="Times New Roman" w:eastAsia="Arial" w:hAnsi="Times New Roman"/>
          <w:sz w:val="24"/>
          <w:szCs w:val="24"/>
          <w:lang w:eastAsia="it-IT"/>
        </w:rPr>
        <w:t>CdA</w:t>
      </w:r>
      <w:proofErr w:type="spellEnd"/>
      <w:r w:rsidRPr="00B063DC">
        <w:rPr>
          <w:rFonts w:ascii="Times New Roman" w:eastAsia="Arial" w:hAnsi="Times New Roman"/>
          <w:sz w:val="24"/>
          <w:szCs w:val="24"/>
          <w:lang w:eastAsia="it-IT"/>
        </w:rPr>
        <w:t xml:space="preserve"> il quale prenderà gli opportuni provvedimenti. Ogni violazione da parte dei Consulenti o dei Partner delle regole di cui al presente Modello o commissione dei Reati di cui al D. </w:t>
      </w:r>
      <w:proofErr w:type="spellStart"/>
      <w:r w:rsidRPr="00B063DC">
        <w:rPr>
          <w:rFonts w:ascii="Times New Roman" w:eastAsia="Arial" w:hAnsi="Times New Roman"/>
          <w:sz w:val="24"/>
          <w:szCs w:val="24"/>
          <w:lang w:eastAsia="it-IT"/>
        </w:rPr>
        <w:t>Lgs</w:t>
      </w:r>
      <w:proofErr w:type="spellEnd"/>
      <w:r w:rsidRPr="00B063DC">
        <w:rPr>
          <w:rFonts w:ascii="Times New Roman" w:eastAsia="Arial" w:hAnsi="Times New Roman"/>
          <w:sz w:val="24"/>
          <w:szCs w:val="24"/>
          <w:lang w:eastAsia="it-IT"/>
        </w:rPr>
        <w:t xml:space="preserve">. 231/2001 sarà sanzionata secondo quanto previsto nelle specifiche clausole contrattuali inserite nei relativi contratti. Resta salva l'eventuale richiesta di risarcimento qualora da tale comportamento derivino danni concreti alla Cooperativa, come nel caso di applicazione da parte del giudice delle misure previste dal D. </w:t>
      </w:r>
      <w:proofErr w:type="spellStart"/>
      <w:r w:rsidRPr="00B063DC">
        <w:rPr>
          <w:rFonts w:ascii="Times New Roman" w:eastAsia="Arial" w:hAnsi="Times New Roman"/>
          <w:sz w:val="24"/>
          <w:szCs w:val="24"/>
          <w:lang w:eastAsia="it-IT"/>
        </w:rPr>
        <w:t>Lgs</w:t>
      </w:r>
      <w:proofErr w:type="spellEnd"/>
      <w:r w:rsidRPr="00B063DC">
        <w:rPr>
          <w:rFonts w:ascii="Times New Roman" w:eastAsia="Arial" w:hAnsi="Times New Roman"/>
          <w:sz w:val="24"/>
          <w:szCs w:val="24"/>
          <w:lang w:eastAsia="it-IT"/>
        </w:rPr>
        <w:t>. 231/2001.</w:t>
      </w:r>
    </w:p>
    <w:p w:rsidR="00B063DC" w:rsidRPr="00B063DC" w:rsidRDefault="00B063DC" w:rsidP="00B063DC">
      <w:pPr>
        <w:widowControl w:val="0"/>
        <w:pBdr>
          <w:top w:val="nil"/>
          <w:left w:val="nil"/>
          <w:bottom w:val="nil"/>
          <w:right w:val="nil"/>
          <w:between w:val="nil"/>
        </w:pBdr>
        <w:spacing w:after="120"/>
        <w:ind w:right="4"/>
        <w:jc w:val="both"/>
        <w:rPr>
          <w:rFonts w:ascii="Times New Roman" w:eastAsia="Times New Roman" w:hAnsi="Times New Roman"/>
          <w:i/>
          <w:color w:val="000000"/>
          <w:sz w:val="24"/>
          <w:szCs w:val="24"/>
          <w:lang w:eastAsia="it-IT"/>
        </w:rPr>
      </w:pPr>
    </w:p>
    <w:p w:rsidR="00B063DC" w:rsidRPr="00B063DC" w:rsidRDefault="00B063DC" w:rsidP="00B063DC">
      <w:pPr>
        <w:widowControl w:val="0"/>
        <w:pBdr>
          <w:top w:val="nil"/>
          <w:left w:val="nil"/>
          <w:bottom w:val="nil"/>
          <w:right w:val="nil"/>
          <w:between w:val="nil"/>
        </w:pBdr>
        <w:spacing w:after="120"/>
        <w:ind w:right="4"/>
        <w:jc w:val="both"/>
        <w:rPr>
          <w:rFonts w:ascii="Times New Roman" w:eastAsia="Times New Roman" w:hAnsi="Times New Roman"/>
          <w:i/>
          <w:color w:val="000000"/>
          <w:sz w:val="24"/>
          <w:szCs w:val="24"/>
          <w:lang w:eastAsia="it-IT"/>
        </w:rPr>
      </w:pPr>
    </w:p>
    <w:p w:rsidR="00B063DC" w:rsidRPr="00B063DC" w:rsidRDefault="00B063DC" w:rsidP="00B063DC">
      <w:pPr>
        <w:widowControl w:val="0"/>
        <w:pBdr>
          <w:top w:val="nil"/>
          <w:left w:val="nil"/>
          <w:bottom w:val="nil"/>
          <w:right w:val="nil"/>
          <w:between w:val="nil"/>
        </w:pBdr>
        <w:spacing w:after="120"/>
        <w:ind w:right="4"/>
        <w:jc w:val="both"/>
        <w:rPr>
          <w:rFonts w:ascii="Times New Roman" w:eastAsia="Times New Roman" w:hAnsi="Times New Roman"/>
          <w:i/>
          <w:color w:val="000000"/>
          <w:sz w:val="24"/>
          <w:szCs w:val="24"/>
          <w:lang w:eastAsia="it-IT"/>
        </w:rPr>
      </w:pPr>
    </w:p>
    <w:p w:rsidR="00B063DC" w:rsidRPr="00B063DC" w:rsidRDefault="00B063DC" w:rsidP="00B063DC">
      <w:pPr>
        <w:widowControl w:val="0"/>
        <w:pBdr>
          <w:top w:val="nil"/>
          <w:left w:val="nil"/>
          <w:bottom w:val="nil"/>
          <w:right w:val="nil"/>
          <w:between w:val="nil"/>
        </w:pBdr>
        <w:spacing w:after="120"/>
        <w:ind w:right="4"/>
        <w:jc w:val="both"/>
        <w:rPr>
          <w:rFonts w:ascii="Times New Roman" w:eastAsia="Times New Roman" w:hAnsi="Times New Roman"/>
          <w:i/>
          <w:color w:val="000000"/>
          <w:sz w:val="24"/>
          <w:szCs w:val="24"/>
          <w:lang w:eastAsia="it-IT"/>
        </w:rPr>
      </w:pPr>
    </w:p>
    <w:p w:rsidR="00B063DC" w:rsidRPr="00B063DC" w:rsidRDefault="00B063DC" w:rsidP="00B063DC">
      <w:pPr>
        <w:widowControl w:val="0"/>
        <w:pBdr>
          <w:top w:val="nil"/>
          <w:left w:val="nil"/>
          <w:bottom w:val="nil"/>
          <w:right w:val="nil"/>
          <w:between w:val="nil"/>
        </w:pBdr>
        <w:spacing w:after="120"/>
        <w:ind w:right="4"/>
        <w:jc w:val="both"/>
        <w:rPr>
          <w:rFonts w:ascii="Times New Roman" w:eastAsia="Times New Roman" w:hAnsi="Times New Roman"/>
          <w:i/>
          <w:color w:val="000000"/>
          <w:sz w:val="24"/>
          <w:szCs w:val="24"/>
          <w:lang w:eastAsia="it-IT"/>
        </w:rPr>
      </w:pPr>
    </w:p>
    <w:p w:rsidR="00876221" w:rsidRDefault="00876221">
      <w:pPr>
        <w:rPr>
          <w:rFonts w:ascii="Times New Roman" w:hAnsi="Times New Roman"/>
          <w:sz w:val="24"/>
          <w:szCs w:val="24"/>
        </w:rPr>
      </w:pPr>
    </w:p>
    <w:sectPr w:rsidR="00876221" w:rsidSect="001C5B9C">
      <w:headerReference w:type="default" r:id="rId7"/>
      <w:footerReference w:type="default" r:id="rId8"/>
      <w:headerReference w:type="first" r:id="rId9"/>
      <w:footerReference w:type="first" r:id="rId10"/>
      <w:pgSz w:w="11906" w:h="16838"/>
      <w:pgMar w:top="225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E10" w:rsidRDefault="00E34E10" w:rsidP="00757C5E">
      <w:pPr>
        <w:spacing w:after="0" w:line="240" w:lineRule="auto"/>
      </w:pPr>
      <w:r>
        <w:separator/>
      </w:r>
    </w:p>
  </w:endnote>
  <w:endnote w:type="continuationSeparator" w:id="0">
    <w:p w:rsidR="00E34E10" w:rsidRDefault="00E34E10" w:rsidP="0075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AC3" w:rsidRPr="00374AC3" w:rsidRDefault="00374AC3">
    <w:pPr>
      <w:pStyle w:val="Pidipagina"/>
      <w:jc w:val="right"/>
      <w:rPr>
        <w:color w:val="365F91"/>
      </w:rPr>
    </w:pPr>
    <w:r w:rsidRPr="00374AC3">
      <w:rPr>
        <w:color w:val="365F91"/>
      </w:rPr>
      <w:t xml:space="preserve">Pagina </w:t>
    </w:r>
    <w:r w:rsidRPr="00374AC3">
      <w:rPr>
        <w:b/>
        <w:color w:val="365F91"/>
        <w:sz w:val="24"/>
        <w:szCs w:val="24"/>
      </w:rPr>
      <w:fldChar w:fldCharType="begin"/>
    </w:r>
    <w:r w:rsidRPr="00374AC3">
      <w:rPr>
        <w:b/>
        <w:color w:val="365F91"/>
      </w:rPr>
      <w:instrText>PAGE</w:instrText>
    </w:r>
    <w:r w:rsidRPr="00374AC3">
      <w:rPr>
        <w:b/>
        <w:color w:val="365F91"/>
        <w:sz w:val="24"/>
        <w:szCs w:val="24"/>
      </w:rPr>
      <w:fldChar w:fldCharType="separate"/>
    </w:r>
    <w:r w:rsidR="00F6504A">
      <w:rPr>
        <w:b/>
        <w:noProof/>
        <w:color w:val="365F91"/>
      </w:rPr>
      <w:t>12</w:t>
    </w:r>
    <w:r w:rsidRPr="00374AC3">
      <w:rPr>
        <w:b/>
        <w:color w:val="365F91"/>
        <w:sz w:val="24"/>
        <w:szCs w:val="24"/>
      </w:rPr>
      <w:fldChar w:fldCharType="end"/>
    </w:r>
    <w:r w:rsidRPr="00374AC3">
      <w:rPr>
        <w:color w:val="365F91"/>
      </w:rPr>
      <w:t xml:space="preserve"> di </w:t>
    </w:r>
    <w:r w:rsidRPr="00374AC3">
      <w:rPr>
        <w:b/>
        <w:color w:val="365F91"/>
        <w:sz w:val="24"/>
        <w:szCs w:val="24"/>
      </w:rPr>
      <w:fldChar w:fldCharType="begin"/>
    </w:r>
    <w:r w:rsidRPr="00374AC3">
      <w:rPr>
        <w:b/>
        <w:color w:val="365F91"/>
      </w:rPr>
      <w:instrText>NUMPAGES</w:instrText>
    </w:r>
    <w:r w:rsidRPr="00374AC3">
      <w:rPr>
        <w:b/>
        <w:color w:val="365F91"/>
        <w:sz w:val="24"/>
        <w:szCs w:val="24"/>
      </w:rPr>
      <w:fldChar w:fldCharType="separate"/>
    </w:r>
    <w:r w:rsidR="00F6504A">
      <w:rPr>
        <w:b/>
        <w:noProof/>
        <w:color w:val="365F91"/>
      </w:rPr>
      <w:t>12</w:t>
    </w:r>
    <w:r w:rsidRPr="00374AC3">
      <w:rPr>
        <w:b/>
        <w:color w:val="365F91"/>
        <w:sz w:val="24"/>
        <w:szCs w:val="24"/>
      </w:rPr>
      <w:fldChar w:fldCharType="end"/>
    </w:r>
  </w:p>
  <w:p w:rsidR="00B82F20" w:rsidRPr="00374AC3" w:rsidRDefault="00474908">
    <w:pPr>
      <w:pStyle w:val="Pidipagina"/>
      <w:rPr>
        <w:color w:val="365F91"/>
      </w:rPr>
    </w:pPr>
    <w:r>
      <w:rPr>
        <w:noProof/>
        <w:color w:val="365F91"/>
        <w:lang w:eastAsia="it-IT"/>
      </w:rPr>
      <w:drawing>
        <wp:anchor distT="0" distB="0" distL="114300" distR="114300" simplePos="0" relativeHeight="251656704" behindDoc="0" locked="0" layoutInCell="1" allowOverlap="1">
          <wp:simplePos x="0" y="0"/>
          <wp:positionH relativeFrom="margin">
            <wp:posOffset>-720090</wp:posOffset>
          </wp:positionH>
          <wp:positionV relativeFrom="margin">
            <wp:posOffset>7474585</wp:posOffset>
          </wp:positionV>
          <wp:extent cx="2592705" cy="2353310"/>
          <wp:effectExtent l="0" t="0" r="0" b="8890"/>
          <wp:wrapNone/>
          <wp:docPr id="4" name="Immagine 4" descr="carta da l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ta da lett"/>
                  <pic:cNvPicPr>
                    <a:picLocks noChangeAspect="1" noChangeArrowheads="1"/>
                  </pic:cNvPicPr>
                </pic:nvPicPr>
                <pic:blipFill>
                  <a:blip r:embed="rId1">
                    <a:extLst>
                      <a:ext uri="{28A0092B-C50C-407E-A947-70E740481C1C}">
                        <a14:useLocalDpi xmlns:a14="http://schemas.microsoft.com/office/drawing/2010/main" val="0"/>
                      </a:ext>
                    </a:extLst>
                  </a:blip>
                  <a:srcRect t="78033" r="67601"/>
                  <a:stretch>
                    <a:fillRect/>
                  </a:stretch>
                </pic:blipFill>
                <pic:spPr bwMode="auto">
                  <a:xfrm>
                    <a:off x="0" y="0"/>
                    <a:ext cx="2592705" cy="2353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0D1" w:rsidRDefault="00474908">
    <w:pPr>
      <w:pStyle w:val="Pidipagina"/>
    </w:pPr>
    <w:r>
      <w:rPr>
        <w:noProof/>
        <w:lang w:eastAsia="it-IT"/>
      </w:rPr>
      <w:drawing>
        <wp:anchor distT="0" distB="0" distL="114300" distR="114300" simplePos="0" relativeHeight="251655680" behindDoc="0" locked="0" layoutInCell="1" allowOverlap="1">
          <wp:simplePos x="0" y="0"/>
          <wp:positionH relativeFrom="margin">
            <wp:posOffset>3947160</wp:posOffset>
          </wp:positionH>
          <wp:positionV relativeFrom="margin">
            <wp:posOffset>7167880</wp:posOffset>
          </wp:positionV>
          <wp:extent cx="2767965" cy="2612390"/>
          <wp:effectExtent l="0" t="0" r="0" b="0"/>
          <wp:wrapNone/>
          <wp:docPr id="3" name="Immagine 3" descr="carta da l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a da lett"/>
                  <pic:cNvPicPr>
                    <a:picLocks noChangeAspect="1" noChangeArrowheads="1"/>
                  </pic:cNvPicPr>
                </pic:nvPicPr>
                <pic:blipFill>
                  <a:blip r:embed="rId1">
                    <a:extLst>
                      <a:ext uri="{28A0092B-C50C-407E-A947-70E740481C1C}">
                        <a14:useLocalDpi xmlns:a14="http://schemas.microsoft.com/office/drawing/2010/main" val="0"/>
                      </a:ext>
                    </a:extLst>
                  </a:blip>
                  <a:srcRect t="78033" r="67601"/>
                  <a:stretch>
                    <a:fillRect/>
                  </a:stretch>
                </pic:blipFill>
                <pic:spPr bwMode="auto">
                  <a:xfrm>
                    <a:off x="0" y="0"/>
                    <a:ext cx="2767965" cy="2612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E10" w:rsidRDefault="00E34E10" w:rsidP="00757C5E">
      <w:pPr>
        <w:spacing w:after="0" w:line="240" w:lineRule="auto"/>
      </w:pPr>
      <w:r>
        <w:separator/>
      </w:r>
    </w:p>
  </w:footnote>
  <w:footnote w:type="continuationSeparator" w:id="0">
    <w:p w:rsidR="00E34E10" w:rsidRDefault="00E34E10" w:rsidP="00757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146" w:rsidRDefault="00E34E10">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carta da lett" style="position:absolute;margin-left:60.3pt;margin-top:-38.6pt;width:426pt;height:31.5pt;z-index:-251656704;visibility:visible;mso-position-horizontal-relative:margin;mso-position-vertical-relative:margin">
          <v:imagedata r:id="rId1" o:title="carta da lett" croptop="7245f" cropbottom="55837f" cropleft="15283f" cropright="3332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456" w:rsidRDefault="008124B5">
    <w:pPr>
      <w:pStyle w:val="Intestazione"/>
    </w:pPr>
    <w:r>
      <w:rPr>
        <w:noProof/>
        <w:lang w:eastAsia="it-IT"/>
      </w:rPr>
      <w:drawing>
        <wp:anchor distT="0" distB="0" distL="114300" distR="114300" simplePos="0" relativeHeight="251658752" behindDoc="1" locked="0" layoutInCell="1" allowOverlap="1" wp14:anchorId="1B55F15C">
          <wp:simplePos x="0" y="0"/>
          <wp:positionH relativeFrom="column">
            <wp:posOffset>835660</wp:posOffset>
          </wp:positionH>
          <wp:positionV relativeFrom="paragraph">
            <wp:posOffset>583565</wp:posOffset>
          </wp:positionV>
          <wp:extent cx="5283200" cy="399415"/>
          <wp:effectExtent l="0" t="0" r="0" b="0"/>
          <wp:wrapTight wrapText="bothSides">
            <wp:wrapPolygon edited="0">
              <wp:start x="0" y="0"/>
              <wp:lineTo x="0" y="20604"/>
              <wp:lineTo x="21496" y="20604"/>
              <wp:lineTo x="21496"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3200" cy="3994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7728" behindDoc="1" locked="0" layoutInCell="1" allowOverlap="1">
          <wp:simplePos x="0" y="0"/>
          <wp:positionH relativeFrom="column">
            <wp:posOffset>-173990</wp:posOffset>
          </wp:positionH>
          <wp:positionV relativeFrom="paragraph">
            <wp:posOffset>-133350</wp:posOffset>
          </wp:positionV>
          <wp:extent cx="1009650" cy="1038225"/>
          <wp:effectExtent l="0" t="0" r="0" b="0"/>
          <wp:wrapTight wrapText="bothSides">
            <wp:wrapPolygon edited="0">
              <wp:start x="0" y="0"/>
              <wp:lineTo x="0" y="21402"/>
              <wp:lineTo x="21192" y="21402"/>
              <wp:lineTo x="21192" y="0"/>
              <wp:lineTo x="0" y="0"/>
            </wp:wrapPolygon>
          </wp:wrapTight>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B9C">
      <w:rPr>
        <w:noProof/>
        <w:lang w:eastAsia="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4E6C"/>
    <w:multiLevelType w:val="hybridMultilevel"/>
    <w:tmpl w:val="F5020CCA"/>
    <w:lvl w:ilvl="0" w:tplc="6EFC50F4">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E1813EC"/>
    <w:multiLevelType w:val="multilevel"/>
    <w:tmpl w:val="06F2AB3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C53083"/>
    <w:multiLevelType w:val="hybridMultilevel"/>
    <w:tmpl w:val="F5020CCA"/>
    <w:lvl w:ilvl="0" w:tplc="6EFC50F4">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E9A03A1"/>
    <w:multiLevelType w:val="hybridMultilevel"/>
    <w:tmpl w:val="B3B49E3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1" fillcolor="white" stroke="f">
      <v:fill color="white"/>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5E"/>
    <w:rsid w:val="00062A8E"/>
    <w:rsid w:val="0012240A"/>
    <w:rsid w:val="00151FF0"/>
    <w:rsid w:val="00166F38"/>
    <w:rsid w:val="00174446"/>
    <w:rsid w:val="00187D95"/>
    <w:rsid w:val="001C5B9C"/>
    <w:rsid w:val="001D2CA5"/>
    <w:rsid w:val="001F29F7"/>
    <w:rsid w:val="002133D9"/>
    <w:rsid w:val="002A6E52"/>
    <w:rsid w:val="002D3857"/>
    <w:rsid w:val="002F00D1"/>
    <w:rsid w:val="00374AC3"/>
    <w:rsid w:val="004535F6"/>
    <w:rsid w:val="00461018"/>
    <w:rsid w:val="00474908"/>
    <w:rsid w:val="004C5294"/>
    <w:rsid w:val="00504199"/>
    <w:rsid w:val="00530DAE"/>
    <w:rsid w:val="0053241D"/>
    <w:rsid w:val="005A1165"/>
    <w:rsid w:val="005A32F2"/>
    <w:rsid w:val="005F55F0"/>
    <w:rsid w:val="005F7C3B"/>
    <w:rsid w:val="00681CE8"/>
    <w:rsid w:val="00745134"/>
    <w:rsid w:val="00747C09"/>
    <w:rsid w:val="00757C5E"/>
    <w:rsid w:val="00777DD6"/>
    <w:rsid w:val="007F4C3C"/>
    <w:rsid w:val="008124B5"/>
    <w:rsid w:val="00853E0C"/>
    <w:rsid w:val="0085610B"/>
    <w:rsid w:val="00876221"/>
    <w:rsid w:val="009620B5"/>
    <w:rsid w:val="009D1038"/>
    <w:rsid w:val="009D6146"/>
    <w:rsid w:val="00A25FA0"/>
    <w:rsid w:val="00A379FC"/>
    <w:rsid w:val="00A44227"/>
    <w:rsid w:val="00A469C0"/>
    <w:rsid w:val="00B063DC"/>
    <w:rsid w:val="00B507B5"/>
    <w:rsid w:val="00B57288"/>
    <w:rsid w:val="00B703A6"/>
    <w:rsid w:val="00B82F20"/>
    <w:rsid w:val="00B84CE0"/>
    <w:rsid w:val="00B9184F"/>
    <w:rsid w:val="00C05BE9"/>
    <w:rsid w:val="00C22BBA"/>
    <w:rsid w:val="00C2453B"/>
    <w:rsid w:val="00C25A0B"/>
    <w:rsid w:val="00C8275C"/>
    <w:rsid w:val="00CA4F22"/>
    <w:rsid w:val="00CB19CE"/>
    <w:rsid w:val="00D73A06"/>
    <w:rsid w:val="00D811FA"/>
    <w:rsid w:val="00D94E09"/>
    <w:rsid w:val="00E34E10"/>
    <w:rsid w:val="00E90073"/>
    <w:rsid w:val="00EE0456"/>
    <w:rsid w:val="00F6504A"/>
    <w:rsid w:val="00F716A2"/>
    <w:rsid w:val="00F96242"/>
    <w:rsid w:val="00FF6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fillcolor="white" stroke="f">
      <v:fill color="white"/>
      <v:stroke on="f"/>
      <v:textbox style="mso-fit-shape-to-text:t"/>
    </o:shapedefaults>
    <o:shapelayout v:ext="edit">
      <o:idmap v:ext="edit" data="1"/>
    </o:shapelayout>
  </w:shapeDefaults>
  <w:decimalSymbol w:val=","/>
  <w:listSeparator w:val=";"/>
  <w15:chartTrackingRefBased/>
  <w15:docId w15:val="{38E99B80-C54E-4310-9087-82C0C8D8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29F7"/>
    <w:pPr>
      <w:spacing w:after="200" w:line="276" w:lineRule="auto"/>
    </w:pPr>
    <w:rPr>
      <w:sz w:val="22"/>
      <w:szCs w:val="22"/>
      <w:lang w:eastAsia="en-US"/>
    </w:rPr>
  </w:style>
  <w:style w:type="paragraph" w:styleId="Titolo1">
    <w:name w:val="heading 1"/>
    <w:basedOn w:val="Normale"/>
    <w:next w:val="Normale"/>
    <w:link w:val="Titolo1Carattere"/>
    <w:qFormat/>
    <w:rsid w:val="00757C5E"/>
    <w:pPr>
      <w:keepNext/>
      <w:spacing w:after="0" w:line="240" w:lineRule="auto"/>
      <w:outlineLvl w:val="0"/>
    </w:pPr>
    <w:rPr>
      <w:rFonts w:ascii="Eras Light ITC" w:eastAsia="Times New Roman" w:hAnsi="Eras Light ITC"/>
      <w:b/>
      <w:bCs/>
      <w:szCs w:val="24"/>
      <w:lang w:eastAsia="it-IT"/>
    </w:rPr>
  </w:style>
  <w:style w:type="paragraph" w:styleId="Titolo2">
    <w:name w:val="heading 2"/>
    <w:basedOn w:val="Normale"/>
    <w:next w:val="Normale"/>
    <w:link w:val="Titolo2Carattere"/>
    <w:uiPriority w:val="9"/>
    <w:semiHidden/>
    <w:unhideWhenUsed/>
    <w:qFormat/>
    <w:rsid w:val="00B063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57C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7C5E"/>
  </w:style>
  <w:style w:type="paragraph" w:styleId="Pidipagina">
    <w:name w:val="footer"/>
    <w:basedOn w:val="Normale"/>
    <w:link w:val="PidipaginaCarattere"/>
    <w:uiPriority w:val="99"/>
    <w:unhideWhenUsed/>
    <w:rsid w:val="00757C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7C5E"/>
  </w:style>
  <w:style w:type="paragraph" w:styleId="Testofumetto">
    <w:name w:val="Balloon Text"/>
    <w:basedOn w:val="Normale"/>
    <w:link w:val="TestofumettoCarattere"/>
    <w:uiPriority w:val="99"/>
    <w:semiHidden/>
    <w:unhideWhenUsed/>
    <w:rsid w:val="00757C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7C5E"/>
    <w:rPr>
      <w:rFonts w:ascii="Tahoma" w:hAnsi="Tahoma" w:cs="Tahoma"/>
      <w:sz w:val="16"/>
      <w:szCs w:val="16"/>
    </w:rPr>
  </w:style>
  <w:style w:type="character" w:customStyle="1" w:styleId="Titolo1Carattere">
    <w:name w:val="Titolo 1 Carattere"/>
    <w:basedOn w:val="Carpredefinitoparagrafo"/>
    <w:link w:val="Titolo1"/>
    <w:rsid w:val="00757C5E"/>
    <w:rPr>
      <w:rFonts w:ascii="Eras Light ITC" w:eastAsia="Times New Roman" w:hAnsi="Eras Light ITC" w:cs="Times New Roman"/>
      <w:b/>
      <w:bCs/>
      <w:szCs w:val="24"/>
      <w:lang w:eastAsia="it-IT"/>
    </w:rPr>
  </w:style>
  <w:style w:type="character" w:styleId="Collegamentoipertestuale">
    <w:name w:val="Hyperlink"/>
    <w:basedOn w:val="Carpredefinitoparagrafo"/>
    <w:semiHidden/>
    <w:rsid w:val="00757C5E"/>
    <w:rPr>
      <w:color w:val="0000FF"/>
      <w:u w:val="single"/>
    </w:rPr>
  </w:style>
  <w:style w:type="character" w:customStyle="1" w:styleId="Titolo2Carattere">
    <w:name w:val="Titolo 2 Carattere"/>
    <w:basedOn w:val="Carpredefinitoparagrafo"/>
    <w:link w:val="Titolo2"/>
    <w:uiPriority w:val="9"/>
    <w:semiHidden/>
    <w:rsid w:val="00B063DC"/>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2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4276</Words>
  <Characters>24374</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Roberto Cerabolini</cp:lastModifiedBy>
  <cp:revision>8</cp:revision>
  <cp:lastPrinted>2020-02-04T14:33:00Z</cp:lastPrinted>
  <dcterms:created xsi:type="dcterms:W3CDTF">2020-01-09T12:07:00Z</dcterms:created>
  <dcterms:modified xsi:type="dcterms:W3CDTF">2020-02-04T14:33:00Z</dcterms:modified>
</cp:coreProperties>
</file>